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4EC0" w14:textId="17423D83" w:rsidR="00C23978" w:rsidRDefault="00462A9E">
      <w:r>
        <w:tab/>
      </w:r>
    </w:p>
    <w:p w14:paraId="6C804990" w14:textId="77777777" w:rsidR="0044158E" w:rsidRDefault="0044158E"/>
    <w:p w14:paraId="72EE153C" w14:textId="77777777" w:rsidR="0044158E" w:rsidRDefault="0044158E"/>
    <w:p w14:paraId="6438E8A5" w14:textId="77777777" w:rsidR="0044158E" w:rsidRDefault="0044158E"/>
    <w:p w14:paraId="2AF64B49" w14:textId="77777777" w:rsidR="00AB187A" w:rsidRDefault="00AB187A"/>
    <w:p w14:paraId="57967975" w14:textId="77777777" w:rsidR="0044158E" w:rsidRDefault="0044158E"/>
    <w:p w14:paraId="1BB9562D" w14:textId="77777777" w:rsidR="0044158E" w:rsidRDefault="0044158E"/>
    <w:p w14:paraId="1A915A76" w14:textId="77777777" w:rsidR="0044158E" w:rsidRDefault="0044158E"/>
    <w:p w14:paraId="498082CC" w14:textId="77777777" w:rsidR="0044158E" w:rsidRDefault="0044158E"/>
    <w:p w14:paraId="24A12A7E" w14:textId="75658D8C" w:rsidR="0044158E" w:rsidRPr="0044158E" w:rsidRDefault="0044158E" w:rsidP="0044158E">
      <w:pPr>
        <w:spacing w:line="480" w:lineRule="auto"/>
        <w:jc w:val="center"/>
        <w:rPr>
          <w:rFonts w:eastAsia="Calibri" w:cs="Times New Roman"/>
          <w:b/>
          <w:bCs/>
        </w:rPr>
      </w:pPr>
      <w:r>
        <w:rPr>
          <w:rFonts w:eastAsia="Calibri" w:cs="Times New Roman"/>
          <w:b/>
          <w:bCs/>
        </w:rPr>
        <w:t>T</w:t>
      </w:r>
      <w:r w:rsidRPr="0044158E">
        <w:rPr>
          <w:rFonts w:eastAsia="Calibri" w:cs="Times New Roman"/>
          <w:b/>
          <w:bCs/>
        </w:rPr>
        <w:t xml:space="preserve">he Role of Occupational Therapy </w:t>
      </w:r>
      <w:r>
        <w:rPr>
          <w:rFonts w:eastAsia="Calibri" w:cs="Times New Roman"/>
          <w:b/>
          <w:bCs/>
        </w:rPr>
        <w:t>for</w:t>
      </w:r>
      <w:r w:rsidRPr="0044158E">
        <w:rPr>
          <w:rFonts w:eastAsia="Calibri" w:cs="Times New Roman"/>
          <w:b/>
          <w:bCs/>
        </w:rPr>
        <w:t xml:space="preserve"> Independence in Young Adults with </w:t>
      </w:r>
      <w:r>
        <w:rPr>
          <w:rFonts w:eastAsia="Calibri" w:cs="Times New Roman"/>
          <w:b/>
          <w:bCs/>
        </w:rPr>
        <w:t xml:space="preserve">Intellectual and Developmental </w:t>
      </w:r>
      <w:r w:rsidRPr="0044158E">
        <w:rPr>
          <w:rFonts w:eastAsia="Calibri" w:cs="Times New Roman"/>
          <w:b/>
          <w:bCs/>
        </w:rPr>
        <w:t xml:space="preserve">Disabilities: A Scoping Review </w:t>
      </w:r>
    </w:p>
    <w:p w14:paraId="55E7E81B" w14:textId="77777777" w:rsidR="0044158E" w:rsidRDefault="0044158E" w:rsidP="0044158E">
      <w:pPr>
        <w:spacing w:line="480" w:lineRule="auto"/>
        <w:jc w:val="center"/>
        <w:rPr>
          <w:rFonts w:eastAsia="Calibri" w:cs="Times New Roman"/>
        </w:rPr>
      </w:pPr>
    </w:p>
    <w:p w14:paraId="33DAEC9E" w14:textId="77777777" w:rsidR="00D00C2D" w:rsidRDefault="00D00C2D" w:rsidP="0044158E">
      <w:pPr>
        <w:spacing w:line="480" w:lineRule="auto"/>
        <w:jc w:val="center"/>
        <w:rPr>
          <w:rFonts w:eastAsia="Calibri" w:cs="Times New Roman"/>
        </w:rPr>
      </w:pPr>
    </w:p>
    <w:p w14:paraId="4DD4F4B8" w14:textId="77777777" w:rsidR="00D00C2D" w:rsidRPr="0044158E" w:rsidRDefault="00D00C2D" w:rsidP="0044158E">
      <w:pPr>
        <w:spacing w:line="480" w:lineRule="auto"/>
        <w:jc w:val="center"/>
        <w:rPr>
          <w:rFonts w:eastAsia="Calibri" w:cs="Times New Roman"/>
        </w:rPr>
      </w:pPr>
    </w:p>
    <w:p w14:paraId="3CC046D3" w14:textId="77777777" w:rsidR="0044158E" w:rsidRDefault="0044158E" w:rsidP="0044158E">
      <w:pPr>
        <w:spacing w:line="480" w:lineRule="auto"/>
        <w:jc w:val="center"/>
        <w:rPr>
          <w:rFonts w:eastAsia="Calibri" w:cs="Times New Roman"/>
        </w:rPr>
      </w:pPr>
      <w:r w:rsidRPr="0044158E">
        <w:rPr>
          <w:rFonts w:eastAsia="Calibri" w:cs="Times New Roman"/>
        </w:rPr>
        <w:t xml:space="preserve">Madison Wittekind </w:t>
      </w:r>
    </w:p>
    <w:p w14:paraId="33386F37" w14:textId="302A9261" w:rsidR="000C3E4E" w:rsidRDefault="000C3E4E" w:rsidP="0044158E">
      <w:pPr>
        <w:spacing w:line="480" w:lineRule="auto"/>
        <w:jc w:val="center"/>
        <w:rPr>
          <w:rFonts w:eastAsia="Calibri" w:cs="Times New Roman"/>
        </w:rPr>
      </w:pPr>
      <w:r>
        <w:rPr>
          <w:rFonts w:eastAsia="Calibri" w:cs="Times New Roman"/>
        </w:rPr>
        <w:t>Department of Occupational Therapy, Xavier University</w:t>
      </w:r>
    </w:p>
    <w:p w14:paraId="3DCDEEE6" w14:textId="4FFA2F8D" w:rsidR="00D00C2D" w:rsidRDefault="00D00C2D" w:rsidP="0044158E">
      <w:pPr>
        <w:spacing w:line="480" w:lineRule="auto"/>
        <w:jc w:val="center"/>
        <w:rPr>
          <w:rFonts w:eastAsia="Calibri" w:cs="Times New Roman"/>
        </w:rPr>
      </w:pPr>
      <w:r>
        <w:rPr>
          <w:rFonts w:eastAsia="Calibri" w:cs="Times New Roman"/>
        </w:rPr>
        <w:t>OCTD 633: Scholarship III, Scholarly Study</w:t>
      </w:r>
    </w:p>
    <w:p w14:paraId="1696E1C6" w14:textId="036C4DBF" w:rsidR="00D00C2D" w:rsidRDefault="000C3E4E" w:rsidP="0044158E">
      <w:pPr>
        <w:spacing w:line="480" w:lineRule="auto"/>
        <w:jc w:val="center"/>
        <w:rPr>
          <w:rFonts w:eastAsia="Calibri" w:cs="Times New Roman"/>
        </w:rPr>
      </w:pPr>
      <w:r>
        <w:rPr>
          <w:rFonts w:eastAsia="Calibri" w:cs="Times New Roman"/>
        </w:rPr>
        <w:t xml:space="preserve">Maggie Sullivan, </w:t>
      </w:r>
      <w:r w:rsidR="00D00C2D">
        <w:rPr>
          <w:rFonts w:eastAsia="Calibri" w:cs="Times New Roman"/>
        </w:rPr>
        <w:t>Dr. Leah Dunn</w:t>
      </w:r>
      <w:r>
        <w:rPr>
          <w:rFonts w:eastAsia="Calibri" w:cs="Times New Roman"/>
        </w:rPr>
        <w:t>, Dr. Barb Elleman</w:t>
      </w:r>
    </w:p>
    <w:p w14:paraId="4716E673" w14:textId="6ACC7859" w:rsidR="00D00C2D" w:rsidRPr="0044158E" w:rsidRDefault="00D00C2D" w:rsidP="0044158E">
      <w:pPr>
        <w:spacing w:line="480" w:lineRule="auto"/>
        <w:jc w:val="center"/>
        <w:rPr>
          <w:rFonts w:eastAsia="Calibri" w:cs="Times New Roman"/>
        </w:rPr>
      </w:pPr>
      <w:r>
        <w:rPr>
          <w:rFonts w:eastAsia="Calibri" w:cs="Times New Roman"/>
        </w:rPr>
        <w:t>Xavier University, 3800 Victory Pkwy, Cincinnati OH 45207</w:t>
      </w:r>
    </w:p>
    <w:p w14:paraId="02B4EBB6" w14:textId="46C1C21D" w:rsidR="00996CD9" w:rsidRPr="0044158E" w:rsidRDefault="00D00C2D" w:rsidP="0044158E">
      <w:pPr>
        <w:spacing w:line="480" w:lineRule="auto"/>
        <w:jc w:val="center"/>
        <w:rPr>
          <w:rFonts w:eastAsia="Calibri" w:cs="Times New Roman"/>
        </w:rPr>
      </w:pPr>
      <w:r>
        <w:rPr>
          <w:rFonts w:eastAsia="Calibri" w:cs="Times New Roman"/>
        </w:rPr>
        <w:t>April 16</w:t>
      </w:r>
      <w:r w:rsidR="00996CD9">
        <w:rPr>
          <w:rFonts w:eastAsia="Calibri" w:cs="Times New Roman"/>
        </w:rPr>
        <w:t>, 2024</w:t>
      </w:r>
    </w:p>
    <w:p w14:paraId="7D9145C7" w14:textId="77777777" w:rsidR="0044158E" w:rsidRDefault="0044158E"/>
    <w:p w14:paraId="0006F40D" w14:textId="77777777" w:rsidR="00996CD9" w:rsidRDefault="00996CD9"/>
    <w:p w14:paraId="50289240" w14:textId="77777777" w:rsidR="00996CD9" w:rsidRDefault="00996CD9"/>
    <w:p w14:paraId="1AF21864" w14:textId="77777777" w:rsidR="00996CD9" w:rsidRDefault="00996CD9"/>
    <w:p w14:paraId="5B3224D1" w14:textId="77777777" w:rsidR="00996CD9" w:rsidRDefault="00996CD9"/>
    <w:p w14:paraId="07B1A407" w14:textId="77777777" w:rsidR="00996CD9" w:rsidRDefault="00996CD9"/>
    <w:p w14:paraId="077E8575" w14:textId="77777777" w:rsidR="00996CD9" w:rsidRDefault="00996CD9"/>
    <w:p w14:paraId="758EA0D6" w14:textId="77777777" w:rsidR="00996CD9" w:rsidRDefault="00996CD9"/>
    <w:p w14:paraId="25A1D21C" w14:textId="77777777" w:rsidR="00996CD9" w:rsidRDefault="00996CD9"/>
    <w:p w14:paraId="26CBA90B" w14:textId="77777777" w:rsidR="00996CD9" w:rsidRDefault="00996CD9"/>
    <w:p w14:paraId="7DBB85A3" w14:textId="77777777" w:rsidR="00996CD9" w:rsidRDefault="00996CD9"/>
    <w:p w14:paraId="53E90AA1" w14:textId="63FF4467" w:rsidR="00996CD9" w:rsidRDefault="00996CD9"/>
    <w:p w14:paraId="5C749768" w14:textId="77777777" w:rsidR="00197224" w:rsidRDefault="00197224"/>
    <w:p w14:paraId="5A46DC72" w14:textId="77777777" w:rsidR="00996CD9" w:rsidRDefault="00996CD9"/>
    <w:p w14:paraId="3F679CCA" w14:textId="77777777" w:rsidR="00996CD9" w:rsidRDefault="00996CD9"/>
    <w:p w14:paraId="4E5E28B6" w14:textId="5D98EFC4" w:rsidR="002C7127" w:rsidRPr="00531BD4" w:rsidRDefault="002C7127" w:rsidP="002C7127">
      <w:pPr>
        <w:spacing w:line="480" w:lineRule="auto"/>
        <w:jc w:val="center"/>
        <w:rPr>
          <w:b/>
          <w:bCs/>
        </w:rPr>
      </w:pPr>
      <w:r w:rsidRPr="00531BD4">
        <w:rPr>
          <w:b/>
          <w:bCs/>
        </w:rPr>
        <w:lastRenderedPageBreak/>
        <w:t>Abstract</w:t>
      </w:r>
    </w:p>
    <w:p w14:paraId="0D4CB97E" w14:textId="77777777" w:rsidR="002C7127" w:rsidRDefault="002C7127" w:rsidP="002C7127">
      <w:pPr>
        <w:spacing w:line="480" w:lineRule="auto"/>
      </w:pPr>
      <w:r w:rsidRPr="002C7127">
        <w:rPr>
          <w:b/>
          <w:bCs/>
          <w:i/>
          <w:iCs/>
        </w:rPr>
        <w:t>Purpose/Question</w:t>
      </w:r>
      <w:r>
        <w:t xml:space="preserve">: Individuals with intellectual and developmental disabilities (IDD) face challenges and barriers to living independently, requiring assistance from caregivers and family members. Tasks required for independent living include the daily routine of caring for oneself in activities of daily living (ADLs) and the activities within the home and out in the community in instrumental activities of daily living (IADLs). To explore functional independence in the IDD population, a scoping review was conducted to determine what interventions improve independence in young adults with IDD.  </w:t>
      </w:r>
    </w:p>
    <w:p w14:paraId="5374D56A" w14:textId="3CA28B02" w:rsidR="002C7127" w:rsidRDefault="002C7127" w:rsidP="002C7127">
      <w:pPr>
        <w:spacing w:line="480" w:lineRule="auto"/>
      </w:pPr>
      <w:r w:rsidRPr="002C7127">
        <w:rPr>
          <w:b/>
          <w:bCs/>
          <w:i/>
          <w:iCs/>
        </w:rPr>
        <w:t>Methods</w:t>
      </w:r>
      <w:r>
        <w:t xml:space="preserve">: Following JBI guidelines, an initial search of the databases of CINAHL, Medline, APA </w:t>
      </w:r>
      <w:proofErr w:type="spellStart"/>
      <w:r>
        <w:t>PsychINFO</w:t>
      </w:r>
      <w:proofErr w:type="spellEnd"/>
      <w:r>
        <w:t>, and ERIC was conducted using combinations of keywords, independence, young adults, adolescents, and interventions. Then, titles and abstracts were screened by two reviewers for inclusion of the analysis. Included articles were published in English, in peer-reviewed journals, focused on individuals with IDD aged 13-35, and included interventions for independence. The findings were organized into a chart identifying if the intervention was an IADL or ADL</w:t>
      </w:r>
      <w:r w:rsidR="00447B30">
        <w:t xml:space="preserve"> in relation to the </w:t>
      </w:r>
      <w:r w:rsidR="00447B30" w:rsidRPr="00197224">
        <w:rPr>
          <w:i/>
          <w:iCs/>
        </w:rPr>
        <w:t>Occupational Therapy Practice Framework</w:t>
      </w:r>
      <w:r w:rsidR="00447B30">
        <w:t xml:space="preserve"> (AOTA, 2020). </w:t>
      </w:r>
    </w:p>
    <w:p w14:paraId="442C17A7" w14:textId="77777777" w:rsidR="002C7127" w:rsidRDefault="002C7127" w:rsidP="002C7127">
      <w:pPr>
        <w:spacing w:line="480" w:lineRule="auto"/>
      </w:pPr>
      <w:r w:rsidRPr="002C7127">
        <w:rPr>
          <w:b/>
          <w:bCs/>
          <w:i/>
          <w:iCs/>
        </w:rPr>
        <w:t>Results</w:t>
      </w:r>
      <w:r>
        <w:t>: The initial search identified 438 articles with 120 duplicates removed and 392 excluded based on the title and abstract. The full text of the remaining 46 articles were reviewed and eliminated 35 articles resulting in 8 studies included in the final analysis. The ADL and IADL interventions focused on community engagement, home management, financial management, toileting, and community mobility through transportation.</w:t>
      </w:r>
    </w:p>
    <w:p w14:paraId="5198AEE0" w14:textId="33B76E75" w:rsidR="00996CD9" w:rsidRDefault="002C7127" w:rsidP="002C7127">
      <w:pPr>
        <w:spacing w:line="480" w:lineRule="auto"/>
      </w:pPr>
      <w:r w:rsidRPr="002C7127">
        <w:rPr>
          <w:b/>
          <w:bCs/>
          <w:i/>
          <w:iCs/>
        </w:rPr>
        <w:t>Conclusions</w:t>
      </w:r>
      <w:r>
        <w:t xml:space="preserve">: The findings showed no predominant intervention. Two studies focused on the use of public transportation for community mobility. Additionally, due to the burden on families and caregivers, several articles focused on strategies to minimize the burden in caring for young </w:t>
      </w:r>
      <w:r>
        <w:lastRenderedPageBreak/>
        <w:t xml:space="preserve">adults with IDD. Future research should look at specific interventions for individuals with IDD and how those interventions have been implemented into aiding in independence. </w:t>
      </w:r>
    </w:p>
    <w:p w14:paraId="78C05CF2" w14:textId="7108CE67" w:rsidR="00996CD9" w:rsidRPr="00996CD9" w:rsidRDefault="00996CD9" w:rsidP="008606BA">
      <w:pPr>
        <w:spacing w:line="480" w:lineRule="auto"/>
        <w:rPr>
          <w:b/>
          <w:bCs/>
        </w:rPr>
      </w:pPr>
      <w:r w:rsidRPr="00996CD9">
        <w:rPr>
          <w:b/>
          <w:bCs/>
        </w:rPr>
        <w:t xml:space="preserve">Introduction </w:t>
      </w:r>
    </w:p>
    <w:p w14:paraId="2A455C40" w14:textId="6A5B73A0" w:rsidR="00FF64F0" w:rsidRDefault="00996CD9" w:rsidP="000407B2">
      <w:pPr>
        <w:spacing w:line="480" w:lineRule="auto"/>
        <w:ind w:firstLine="720"/>
      </w:pPr>
      <w:r>
        <w:t>In the U</w:t>
      </w:r>
      <w:r w:rsidR="000C3E4E">
        <w:t>.S.</w:t>
      </w:r>
      <w:r>
        <w:t xml:space="preserve">, most adolescents and young adults are entering an exciting period in their lives where they experience more independence in activities of daily living (ADL) and instrumental activities of daily living (IADL). </w:t>
      </w:r>
      <w:r w:rsidR="009E1727">
        <w:t>I</w:t>
      </w:r>
      <w:r>
        <w:t xml:space="preserve">ndividuals with intellectual and developmental disabilities (IDD) </w:t>
      </w:r>
      <w:r w:rsidR="009E1727">
        <w:t xml:space="preserve">may </w:t>
      </w:r>
      <w:r>
        <w:t>face challenges and barriers perfo</w:t>
      </w:r>
      <w:r w:rsidR="00815C0F">
        <w:t>rming ADLs and IADLs independently</w:t>
      </w:r>
      <w:r w:rsidR="008606BA">
        <w:t xml:space="preserve"> (Leonard et al., 2016)</w:t>
      </w:r>
      <w:r w:rsidR="00815C0F">
        <w:t xml:space="preserve">. </w:t>
      </w:r>
      <w:r w:rsidR="008606BA">
        <w:t>ADLs are essential tasks that need to be completed routinely to care for oneself whereas IADLs are daily activities within the home and out in the community (</w:t>
      </w:r>
      <w:r w:rsidR="000C3E4E">
        <w:t>AOTA</w:t>
      </w:r>
      <w:r w:rsidR="008606BA">
        <w:t>, 2020).</w:t>
      </w:r>
      <w:r w:rsidR="00165639">
        <w:t xml:space="preserve"> Individuals with</w:t>
      </w:r>
      <w:r w:rsidR="008606BA">
        <w:t xml:space="preserve"> IDD may need help from parents, caregivers, and teachers when performing self-care activities (</w:t>
      </w:r>
      <w:r w:rsidR="00F55672">
        <w:t>Berg et al., 2017</w:t>
      </w:r>
      <w:r w:rsidR="00457AD2">
        <w:t xml:space="preserve">). Relying on others for these activities can </w:t>
      </w:r>
      <w:r w:rsidR="00C62820">
        <w:t xml:space="preserve">cause feelings of insecurity and helplessness when compared to typically developing peers </w:t>
      </w:r>
      <w:r w:rsidR="00457AD2">
        <w:t>(</w:t>
      </w:r>
      <w:r w:rsidR="00F55672">
        <w:t>Jansen-van and Aldersey, 2020</w:t>
      </w:r>
      <w:r w:rsidR="00457AD2">
        <w:t>).</w:t>
      </w:r>
    </w:p>
    <w:p w14:paraId="1FE9EB64" w14:textId="05FCBA4C" w:rsidR="00996CD9" w:rsidRDefault="00457AD2" w:rsidP="000407B2">
      <w:pPr>
        <w:spacing w:line="480" w:lineRule="auto"/>
        <w:ind w:firstLine="720"/>
      </w:pPr>
      <w:r>
        <w:t xml:space="preserve"> An occupational therapist plays an essential role in helping individuals gain independence in performing tasks that they must do, need to do, and want to do. When an occupational therapist is working with an individual, they are thinking of ways to adapt or modify an activity so that their clients can perform tasks independently. </w:t>
      </w:r>
      <w:r w:rsidR="008F015C">
        <w:t>Implementing interventions that exemplify their strengths allows them to learn how to be functionally independent</w:t>
      </w:r>
      <w:r w:rsidR="00C62820">
        <w:t xml:space="preserve"> (Francis et al., 2019; Young et al., 2022).</w:t>
      </w:r>
      <w:r w:rsidR="00C62820" w:rsidRPr="00F33884">
        <w:t xml:space="preserve"> </w:t>
      </w:r>
      <w:r w:rsidR="008F015C">
        <w:t xml:space="preserve"> Once </w:t>
      </w:r>
      <w:r w:rsidR="00397C4D">
        <w:t>young adults</w:t>
      </w:r>
      <w:r w:rsidR="008F015C">
        <w:t xml:space="preserve"> graduate from high school, they have limited access to resources to help increase their independence in ADLs and IADLs. There is a lack of occupational therapy services that focus on working with adolescents and young adults with IDD</w:t>
      </w:r>
      <w:r w:rsidR="002F623E">
        <w:t xml:space="preserve"> (Leonard et al., 2016).</w:t>
      </w:r>
    </w:p>
    <w:p w14:paraId="31667FB0" w14:textId="6056DBC6" w:rsidR="00714702" w:rsidRDefault="00714702" w:rsidP="000407B2">
      <w:pPr>
        <w:spacing w:line="480" w:lineRule="auto"/>
        <w:ind w:firstLine="720"/>
      </w:pPr>
      <w:r>
        <w:lastRenderedPageBreak/>
        <w:t>There are a variety of interventions occupational therapists can implement for the IDD population. Occupational therapists can lead individuals with IDD through function</w:t>
      </w:r>
      <w:r w:rsidR="009E1727">
        <w:t>al</w:t>
      </w:r>
      <w:r>
        <w:t xml:space="preserve"> training programs to increase their independence to adapt the task or the environment to aid </w:t>
      </w:r>
      <w:r w:rsidR="000407B2">
        <w:t>in their independence (</w:t>
      </w:r>
      <w:r w:rsidR="000407B2" w:rsidRPr="00756B28">
        <w:t>Berg et al., 2017; Waldman-Levi et al., 2019).</w:t>
      </w:r>
      <w:r w:rsidR="002F623E">
        <w:t xml:space="preserve"> Another intervention is participating in vocational skills training which allows young adults with IDD </w:t>
      </w:r>
      <w:r w:rsidR="006B6738">
        <w:t xml:space="preserve">to </w:t>
      </w:r>
      <w:r w:rsidR="002F623E">
        <w:t>gain skills needed for employment, college, or in the community (Bernard-Bark et al., 2023; Chiang and Howe, 2021,</w:t>
      </w:r>
      <w:r w:rsidR="002F623E" w:rsidRPr="00F33884">
        <w:t xml:space="preserve"> </w:t>
      </w:r>
      <w:proofErr w:type="spellStart"/>
      <w:r w:rsidR="002F623E">
        <w:t>Wilczenski</w:t>
      </w:r>
      <w:proofErr w:type="spellEnd"/>
      <w:r w:rsidR="002F623E">
        <w:t xml:space="preserve"> et al., 2017)</w:t>
      </w:r>
    </w:p>
    <w:p w14:paraId="0E44FF61" w14:textId="14D833F6" w:rsidR="00313840" w:rsidRDefault="00C46990" w:rsidP="000407B2">
      <w:pPr>
        <w:spacing w:line="480" w:lineRule="auto"/>
        <w:ind w:firstLine="720"/>
      </w:pPr>
      <w:r>
        <w:t>There is a lack of access to therapy and programs for the IDD population due to the lack of resources available</w:t>
      </w:r>
      <w:r w:rsidR="0036199D">
        <w:t xml:space="preserve"> (Gauthier-Boudreault et al., 2018). </w:t>
      </w:r>
      <w:r w:rsidR="007D516C" w:rsidRPr="00DE09FA">
        <w:rPr>
          <w:rFonts w:eastAsiaTheme="minorEastAsia" w:cs="Times New Roman"/>
          <w:color w:val="000000" w:themeColor="text1"/>
          <w:kern w:val="24"/>
          <w:szCs w:val="24"/>
        </w:rPr>
        <w:t xml:space="preserve">The </w:t>
      </w:r>
      <w:r w:rsidR="007D516C">
        <w:rPr>
          <w:rFonts w:eastAsiaTheme="minorEastAsia" w:cs="Times New Roman"/>
          <w:color w:val="000000" w:themeColor="text1"/>
          <w:kern w:val="24"/>
          <w:szCs w:val="24"/>
        </w:rPr>
        <w:t xml:space="preserve">research </w:t>
      </w:r>
      <w:r w:rsidR="007D516C" w:rsidRPr="00DE09FA">
        <w:rPr>
          <w:rFonts w:eastAsiaTheme="minorEastAsia" w:cs="Times New Roman"/>
          <w:color w:val="000000" w:themeColor="text1"/>
          <w:kern w:val="24"/>
          <w:szCs w:val="24"/>
        </w:rPr>
        <w:t>questions</w:t>
      </w:r>
      <w:r>
        <w:rPr>
          <w:rFonts w:eastAsiaTheme="minorEastAsia" w:cs="Times New Roman"/>
          <w:color w:val="000000" w:themeColor="text1"/>
          <w:kern w:val="24"/>
          <w:szCs w:val="24"/>
        </w:rPr>
        <w:t xml:space="preserve"> for</w:t>
      </w:r>
      <w:r w:rsidR="007D516C">
        <w:rPr>
          <w:rFonts w:eastAsiaTheme="minorEastAsia" w:cs="Times New Roman"/>
          <w:color w:val="000000" w:themeColor="text1"/>
          <w:kern w:val="24"/>
          <w:szCs w:val="24"/>
        </w:rPr>
        <w:t xml:space="preserve"> </w:t>
      </w:r>
      <w:r w:rsidR="007D516C" w:rsidRPr="00DE09FA">
        <w:rPr>
          <w:rFonts w:eastAsiaTheme="minorEastAsia" w:cs="Times New Roman"/>
          <w:color w:val="000000" w:themeColor="text1"/>
          <w:kern w:val="24"/>
          <w:szCs w:val="24"/>
        </w:rPr>
        <w:t xml:space="preserve">this </w:t>
      </w:r>
      <w:r w:rsidR="007D516C">
        <w:rPr>
          <w:rFonts w:eastAsiaTheme="minorEastAsia" w:cs="Times New Roman"/>
          <w:color w:val="000000" w:themeColor="text1"/>
          <w:kern w:val="24"/>
          <w:szCs w:val="24"/>
        </w:rPr>
        <w:t xml:space="preserve">review aims to address </w:t>
      </w:r>
      <w:r w:rsidR="007D516C" w:rsidRPr="00DE09FA">
        <w:rPr>
          <w:rFonts w:eastAsiaTheme="minorEastAsia" w:cs="Times New Roman"/>
          <w:color w:val="000000" w:themeColor="text1"/>
          <w:kern w:val="24"/>
          <w:szCs w:val="24"/>
        </w:rPr>
        <w:t>is what areas of ADLs and IADLs are the focus of interventions in individuals with IDD</w:t>
      </w:r>
      <w:r w:rsidR="007D516C">
        <w:rPr>
          <w:rFonts w:eastAsiaTheme="minorEastAsia" w:cs="Times New Roman"/>
          <w:color w:val="000000" w:themeColor="text1"/>
          <w:kern w:val="24"/>
          <w:szCs w:val="24"/>
        </w:rPr>
        <w:t xml:space="preserve">. </w:t>
      </w:r>
      <w:r>
        <w:rPr>
          <w:rFonts w:eastAsiaTheme="minorEastAsia" w:cs="Times New Roman"/>
          <w:color w:val="000000" w:themeColor="text1"/>
          <w:kern w:val="24"/>
          <w:szCs w:val="24"/>
        </w:rPr>
        <w:t>The o</w:t>
      </w:r>
      <w:r w:rsidR="009B71B8">
        <w:t xml:space="preserve">bjective </w:t>
      </w:r>
      <w:r w:rsidR="006B6738">
        <w:t>of</w:t>
      </w:r>
      <w:r w:rsidR="009B71B8">
        <w:t xml:space="preserve"> this review </w:t>
      </w:r>
      <w:r w:rsidR="007D516C">
        <w:t>include</w:t>
      </w:r>
      <w:r>
        <w:t>s</w:t>
      </w:r>
      <w:r w:rsidR="007D516C">
        <w:t xml:space="preserve"> identifying successful </w:t>
      </w:r>
      <w:r w:rsidR="009B71B8">
        <w:t xml:space="preserve">interventions that </w:t>
      </w:r>
      <w:r w:rsidR="007D516C">
        <w:t>have shown an increase in</w:t>
      </w:r>
      <w:r w:rsidR="009B71B8">
        <w:t xml:space="preserve"> independence in ADLs and IADLs</w:t>
      </w:r>
      <w:r>
        <w:t>, a</w:t>
      </w:r>
      <w:r w:rsidR="007D516C">
        <w:t>s well as barriers</w:t>
      </w:r>
      <w:r w:rsidR="009B71B8">
        <w:t xml:space="preserve"> addressed in the IDD population. </w:t>
      </w:r>
      <w:r w:rsidR="007D516C">
        <w:t xml:space="preserve">The purpose of this scoping review is to explore different interventions that can be implemented </w:t>
      </w:r>
      <w:r w:rsidR="006B6738">
        <w:t>for</w:t>
      </w:r>
      <w:r w:rsidR="007D516C">
        <w:t xml:space="preserve"> young adults with IDD focusing on independence in ADLs and IADLs.</w:t>
      </w:r>
    </w:p>
    <w:p w14:paraId="20CF2F49" w14:textId="3823F532" w:rsidR="00E17220" w:rsidRPr="00C46990" w:rsidRDefault="00615C00" w:rsidP="00807D60">
      <w:pPr>
        <w:spacing w:line="480" w:lineRule="auto"/>
        <w:jc w:val="both"/>
        <w:rPr>
          <w:b/>
          <w:bCs/>
        </w:rPr>
      </w:pPr>
      <w:r w:rsidRPr="00615C00">
        <w:rPr>
          <w:b/>
          <w:bCs/>
        </w:rPr>
        <w:t>Methods</w:t>
      </w:r>
    </w:p>
    <w:p w14:paraId="7401D468" w14:textId="77777777" w:rsidR="00E17220" w:rsidRDefault="00462A9E" w:rsidP="00462A9E">
      <w:pPr>
        <w:spacing w:line="480" w:lineRule="auto"/>
        <w:rPr>
          <w:b/>
          <w:bCs/>
        </w:rPr>
      </w:pPr>
      <w:r w:rsidRPr="007D516C">
        <w:rPr>
          <w:b/>
          <w:bCs/>
          <w:i/>
          <w:iCs/>
        </w:rPr>
        <w:t>Design and Justification</w:t>
      </w:r>
      <w:r w:rsidR="00E17220">
        <w:rPr>
          <w:b/>
          <w:bCs/>
        </w:rPr>
        <w:t xml:space="preserve"> </w:t>
      </w:r>
    </w:p>
    <w:p w14:paraId="41DF98D6" w14:textId="00127960" w:rsidR="00462A9E" w:rsidRDefault="007D516C" w:rsidP="00E17220">
      <w:pPr>
        <w:spacing w:line="480" w:lineRule="auto"/>
        <w:ind w:firstLine="720"/>
      </w:pPr>
      <w:r>
        <w:t xml:space="preserve">This </w:t>
      </w:r>
      <w:r w:rsidR="00462A9E">
        <w:t>scoping review was conducted</w:t>
      </w:r>
      <w:r w:rsidR="009A687A">
        <w:t xml:space="preserve"> </w:t>
      </w:r>
      <w:r w:rsidR="00732CBC">
        <w:t xml:space="preserve">to </w:t>
      </w:r>
      <w:r w:rsidR="00462A9E">
        <w:t>examine the literature to determine therapy interventions that address ADLs and IADLs in this population</w:t>
      </w:r>
      <w:r w:rsidR="009A687A">
        <w:t xml:space="preserve"> due to limited research</w:t>
      </w:r>
      <w:r w:rsidR="00462A9E">
        <w:t>.</w:t>
      </w:r>
      <w:r w:rsidR="00C30A4A">
        <w:t xml:space="preserve"> </w:t>
      </w:r>
      <w:r w:rsidR="00462A9E">
        <w:t>This scoping review was guided by the Preferred Reporting Items for Systematic Reviews and Meta</w:t>
      </w:r>
      <w:r w:rsidR="00747726">
        <w:t>-</w:t>
      </w:r>
      <w:r w:rsidR="00462A9E">
        <w:t>Analysis Scoping Review Extension [PRISMA-</w:t>
      </w:r>
      <w:proofErr w:type="spellStart"/>
      <w:r w:rsidR="00462A9E">
        <w:t>ScR</w:t>
      </w:r>
      <w:proofErr w:type="spellEnd"/>
      <w:r w:rsidR="00462A9E">
        <w:t>] (</w:t>
      </w:r>
      <w:r w:rsidR="001B3ECD">
        <w:t xml:space="preserve">Page et al., 2020; </w:t>
      </w:r>
      <w:proofErr w:type="spellStart"/>
      <w:r w:rsidR="00462A9E">
        <w:t>Tricco</w:t>
      </w:r>
      <w:proofErr w:type="spellEnd"/>
      <w:r w:rsidR="00462A9E">
        <w:t xml:space="preserve"> et al., 2018). </w:t>
      </w:r>
      <w:r w:rsidR="00E17220">
        <w:t xml:space="preserve">A protocol was created outlining how the scoping review was going to be conducted and registered on Open Science Framework </w:t>
      </w:r>
      <w:r w:rsidR="00C46990">
        <w:t>(Wittekind &amp; Dunn, 2024</w:t>
      </w:r>
      <w:r w:rsidR="00C06F90">
        <w:t>).</w:t>
      </w:r>
      <w:r w:rsidR="001B3ECD">
        <w:t xml:space="preserve"> The methodology of this review will utilize the JBI guidelines (Peters et al., 2021). </w:t>
      </w:r>
    </w:p>
    <w:p w14:paraId="6D0F990D" w14:textId="01046E8C" w:rsidR="00E17220" w:rsidRDefault="00462A9E" w:rsidP="00462A9E">
      <w:pPr>
        <w:spacing w:line="480" w:lineRule="auto"/>
        <w:rPr>
          <w:i/>
          <w:iCs/>
        </w:rPr>
      </w:pPr>
      <w:r w:rsidRPr="00A9456B">
        <w:rPr>
          <w:b/>
          <w:bCs/>
          <w:i/>
          <w:iCs/>
        </w:rPr>
        <w:lastRenderedPageBreak/>
        <w:t xml:space="preserve">Information </w:t>
      </w:r>
      <w:r w:rsidR="00C06F90">
        <w:rPr>
          <w:b/>
          <w:bCs/>
          <w:i/>
          <w:iCs/>
        </w:rPr>
        <w:t>S</w:t>
      </w:r>
      <w:r w:rsidRPr="00A9456B">
        <w:rPr>
          <w:b/>
          <w:bCs/>
          <w:i/>
          <w:iCs/>
        </w:rPr>
        <w:t>ources</w:t>
      </w:r>
      <w:r w:rsidR="00E17220">
        <w:rPr>
          <w:i/>
          <w:iCs/>
        </w:rPr>
        <w:t xml:space="preserve"> </w:t>
      </w:r>
    </w:p>
    <w:p w14:paraId="0FA6581A" w14:textId="53A7F284" w:rsidR="00462A9E" w:rsidRDefault="00462A9E" w:rsidP="00E17220">
      <w:pPr>
        <w:spacing w:line="480" w:lineRule="auto"/>
        <w:ind w:firstLine="720"/>
      </w:pPr>
      <w:r>
        <w:t xml:space="preserve">A search was conducted in February-March 2024 for this scoping review in the following databases ERIC, CINAHL, Medline, and </w:t>
      </w:r>
      <w:proofErr w:type="spellStart"/>
      <w:r>
        <w:t>PsychInfo</w:t>
      </w:r>
      <w:proofErr w:type="spellEnd"/>
      <w:r>
        <w:t xml:space="preserve">. </w:t>
      </w:r>
    </w:p>
    <w:p w14:paraId="6069C652" w14:textId="77777777" w:rsidR="00E17220" w:rsidRDefault="00462A9E" w:rsidP="00462A9E">
      <w:pPr>
        <w:spacing w:line="480" w:lineRule="auto"/>
        <w:rPr>
          <w:b/>
          <w:bCs/>
          <w:i/>
          <w:iCs/>
        </w:rPr>
      </w:pPr>
      <w:r w:rsidRPr="00A9456B">
        <w:rPr>
          <w:b/>
          <w:bCs/>
          <w:i/>
          <w:iCs/>
        </w:rPr>
        <w:t>Search Strategy</w:t>
      </w:r>
      <w:r w:rsidR="00E17220">
        <w:rPr>
          <w:b/>
          <w:bCs/>
          <w:i/>
          <w:iCs/>
        </w:rPr>
        <w:t xml:space="preserve"> </w:t>
      </w:r>
    </w:p>
    <w:p w14:paraId="11CC1697" w14:textId="16C2CB49" w:rsidR="00462A9E" w:rsidRDefault="00462A9E" w:rsidP="00E17220">
      <w:pPr>
        <w:spacing w:line="480" w:lineRule="auto"/>
        <w:ind w:firstLine="720"/>
      </w:pPr>
      <w:r>
        <w:t xml:space="preserve">The search strategy was developed considering the target population, intervention, and outcomes shown </w:t>
      </w:r>
      <w:r w:rsidR="00747726">
        <w:t>by</w:t>
      </w:r>
      <w:r>
        <w:t xml:space="preserve"> participants in the studies. The subjects for this study were young adults/ adolescents with IDD disabilities (1</w:t>
      </w:r>
      <w:r w:rsidR="00DE09FA">
        <w:t>3</w:t>
      </w:r>
      <w:r>
        <w:t xml:space="preserve">-35 years old). Keywords </w:t>
      </w:r>
      <w:r w:rsidR="00747611">
        <w:t xml:space="preserve">that were </w:t>
      </w:r>
      <w:r>
        <w:t xml:space="preserve">included </w:t>
      </w:r>
      <w:r w:rsidR="00747611">
        <w:t>were</w:t>
      </w:r>
      <w:r>
        <w:t xml:space="preserve"> </w:t>
      </w:r>
      <w:r w:rsidRPr="00462A9E">
        <w:rPr>
          <w:i/>
          <w:iCs/>
        </w:rPr>
        <w:t>occupational therapy, interventions, independence, ADL, IADL, IDD, and young adults</w:t>
      </w:r>
      <w:r>
        <w:t xml:space="preserve">. The use of the Boolean operators [AND, OR] </w:t>
      </w:r>
      <w:r w:rsidR="00747726">
        <w:t>was</w:t>
      </w:r>
      <w:r>
        <w:t xml:space="preserve"> utilized to optimize and refine search results </w:t>
      </w:r>
      <w:proofErr w:type="gramStart"/>
      <w:r>
        <w:t xml:space="preserve">in </w:t>
      </w:r>
      <w:r w:rsidR="00C06F90">
        <w:t xml:space="preserve">an </w:t>
      </w:r>
      <w:r>
        <w:t>attempt to</w:t>
      </w:r>
      <w:proofErr w:type="gramEnd"/>
      <w:r>
        <w:t xml:space="preserve"> attain articles that related to the research question. This review was done to narrow the search to identify occupational therapy interventions that increase independence in young adults with IDD.</w:t>
      </w:r>
      <w:r w:rsidR="007D516C">
        <w:t xml:space="preserve"> Table 1 identifies the search strands for each database. </w:t>
      </w:r>
    </w:p>
    <w:p w14:paraId="135DB359" w14:textId="638CC786" w:rsidR="007D516C" w:rsidRPr="007D516C" w:rsidRDefault="007D516C" w:rsidP="00462A9E">
      <w:pPr>
        <w:spacing w:line="480" w:lineRule="auto"/>
        <w:rPr>
          <w:b/>
          <w:bCs/>
        </w:rPr>
      </w:pPr>
      <w:r w:rsidRPr="007D516C">
        <w:rPr>
          <w:b/>
          <w:bCs/>
        </w:rPr>
        <w:t>Table 1</w:t>
      </w:r>
      <w:r w:rsidR="00BB78F0">
        <w:rPr>
          <w:b/>
          <w:bCs/>
        </w:rPr>
        <w:t xml:space="preserve">. </w:t>
      </w:r>
    </w:p>
    <w:p w14:paraId="700CA9C7" w14:textId="3B383112" w:rsidR="007D516C" w:rsidRPr="007D516C" w:rsidRDefault="007D516C" w:rsidP="00462A9E">
      <w:pPr>
        <w:spacing w:line="480" w:lineRule="auto"/>
        <w:rPr>
          <w:i/>
          <w:iCs/>
        </w:rPr>
      </w:pPr>
      <w:r w:rsidRPr="007D516C">
        <w:rPr>
          <w:i/>
          <w:iCs/>
        </w:rPr>
        <w:t xml:space="preserve">Search Strategy with Search Strands </w:t>
      </w:r>
    </w:p>
    <w:p w14:paraId="7CA53381" w14:textId="77777777" w:rsidR="00462A9E" w:rsidRPr="00DC3C21" w:rsidRDefault="00462A9E" w:rsidP="00462A9E">
      <w:pPr>
        <w:rPr>
          <w:rStyle w:val="Hyperlink"/>
          <w:rFonts w:ascii="Trebuchet MS" w:hAnsi="Trebuchet MS"/>
          <w:color w:val="000000" w:themeColor="text1"/>
        </w:rPr>
      </w:pPr>
    </w:p>
    <w:tbl>
      <w:tblPr>
        <w:tblStyle w:val="TableGrid"/>
        <w:tblW w:w="0" w:type="auto"/>
        <w:tblInd w:w="-95" w:type="dxa"/>
        <w:tblLook w:val="04A0" w:firstRow="1" w:lastRow="0" w:firstColumn="1" w:lastColumn="0" w:noHBand="0" w:noVBand="1"/>
      </w:tblPr>
      <w:tblGrid>
        <w:gridCol w:w="1203"/>
        <w:gridCol w:w="928"/>
        <w:gridCol w:w="6346"/>
        <w:gridCol w:w="968"/>
      </w:tblGrid>
      <w:tr w:rsidR="00462A9E" w14:paraId="4204562D" w14:textId="77777777" w:rsidTr="00462A9E">
        <w:trPr>
          <w:trHeight w:val="701"/>
        </w:trPr>
        <w:tc>
          <w:tcPr>
            <w:tcW w:w="0" w:type="auto"/>
            <w:shd w:val="clear" w:color="auto" w:fill="F2CEED" w:themeFill="accent5" w:themeFillTint="33"/>
          </w:tcPr>
          <w:p w14:paraId="68B5E5BB" w14:textId="77777777" w:rsidR="00462A9E" w:rsidRPr="00DC3C21" w:rsidRDefault="00462A9E" w:rsidP="00D41B1F">
            <w:pPr>
              <w:rPr>
                <w:rFonts w:ascii="Trebuchet MS" w:hAnsi="Trebuchet MS"/>
                <w:b w:val="0"/>
              </w:rPr>
            </w:pPr>
            <w:r>
              <w:rPr>
                <w:rFonts w:ascii="Trebuchet MS" w:hAnsi="Trebuchet MS"/>
              </w:rPr>
              <w:t xml:space="preserve">Name of </w:t>
            </w:r>
            <w:r w:rsidRPr="00DC3C21">
              <w:rPr>
                <w:rFonts w:ascii="Trebuchet MS" w:hAnsi="Trebuchet MS"/>
              </w:rPr>
              <w:t>Database</w:t>
            </w:r>
          </w:p>
        </w:tc>
        <w:tc>
          <w:tcPr>
            <w:tcW w:w="0" w:type="auto"/>
            <w:shd w:val="clear" w:color="auto" w:fill="F2CEED" w:themeFill="accent5" w:themeFillTint="33"/>
          </w:tcPr>
          <w:p w14:paraId="253B192B" w14:textId="77777777" w:rsidR="00462A9E" w:rsidRPr="00DC3C21" w:rsidRDefault="00462A9E" w:rsidP="00D41B1F">
            <w:pPr>
              <w:rPr>
                <w:rFonts w:ascii="Trebuchet MS" w:hAnsi="Trebuchet MS"/>
                <w:b w:val="0"/>
              </w:rPr>
            </w:pPr>
            <w:r w:rsidRPr="00DC3C21">
              <w:rPr>
                <w:rFonts w:ascii="Trebuchet MS" w:hAnsi="Trebuchet MS"/>
              </w:rPr>
              <w:t>Date</w:t>
            </w:r>
          </w:p>
        </w:tc>
        <w:tc>
          <w:tcPr>
            <w:tcW w:w="0" w:type="auto"/>
            <w:shd w:val="clear" w:color="auto" w:fill="F2CEED" w:themeFill="accent5" w:themeFillTint="33"/>
          </w:tcPr>
          <w:p w14:paraId="67413F1D" w14:textId="77777777" w:rsidR="00462A9E" w:rsidRPr="00DC3C21" w:rsidRDefault="00462A9E" w:rsidP="00D41B1F">
            <w:pPr>
              <w:rPr>
                <w:rFonts w:ascii="Trebuchet MS" w:hAnsi="Trebuchet MS"/>
                <w:b w:val="0"/>
              </w:rPr>
            </w:pPr>
            <w:r w:rsidRPr="00DC3C21">
              <w:rPr>
                <w:rFonts w:ascii="Trebuchet MS" w:hAnsi="Trebuchet MS"/>
              </w:rPr>
              <w:t>Search Terms</w:t>
            </w:r>
          </w:p>
        </w:tc>
        <w:tc>
          <w:tcPr>
            <w:tcW w:w="0" w:type="auto"/>
            <w:shd w:val="clear" w:color="auto" w:fill="F2CEED" w:themeFill="accent5" w:themeFillTint="33"/>
          </w:tcPr>
          <w:p w14:paraId="4D1F3A17" w14:textId="77777777" w:rsidR="00462A9E" w:rsidRPr="00DC3C21" w:rsidRDefault="00462A9E" w:rsidP="00D41B1F">
            <w:pPr>
              <w:rPr>
                <w:rFonts w:ascii="Trebuchet MS" w:hAnsi="Trebuchet MS"/>
                <w:b w:val="0"/>
              </w:rPr>
            </w:pPr>
            <w:r w:rsidRPr="00DC3C21">
              <w:rPr>
                <w:rFonts w:ascii="Trebuchet MS" w:hAnsi="Trebuchet MS"/>
              </w:rPr>
              <w:t xml:space="preserve">Total Results </w:t>
            </w:r>
          </w:p>
        </w:tc>
      </w:tr>
      <w:tr w:rsidR="00462A9E" w14:paraId="25D1EA4E" w14:textId="77777777" w:rsidTr="00462A9E">
        <w:trPr>
          <w:trHeight w:val="642"/>
        </w:trPr>
        <w:tc>
          <w:tcPr>
            <w:tcW w:w="0" w:type="auto"/>
          </w:tcPr>
          <w:p w14:paraId="3B6AE3AD" w14:textId="77777777" w:rsidR="00462A9E" w:rsidRDefault="00462A9E" w:rsidP="00D41B1F">
            <w:pPr>
              <w:rPr>
                <w:bCs/>
              </w:rPr>
            </w:pPr>
            <w:r>
              <w:rPr>
                <w:bCs/>
              </w:rPr>
              <w:t>CINAHL `</w:t>
            </w:r>
          </w:p>
        </w:tc>
        <w:tc>
          <w:tcPr>
            <w:tcW w:w="0" w:type="auto"/>
          </w:tcPr>
          <w:p w14:paraId="0EAD29D6" w14:textId="77777777" w:rsidR="00462A9E" w:rsidRDefault="00462A9E" w:rsidP="00D41B1F">
            <w:pPr>
              <w:spacing w:line="480" w:lineRule="auto"/>
              <w:rPr>
                <w:bCs/>
              </w:rPr>
            </w:pPr>
            <w:r>
              <w:rPr>
                <w:bCs/>
              </w:rPr>
              <w:t>3/9/2024</w:t>
            </w:r>
          </w:p>
        </w:tc>
        <w:tc>
          <w:tcPr>
            <w:tcW w:w="0" w:type="auto"/>
          </w:tcPr>
          <w:p w14:paraId="242A9CE2" w14:textId="77777777" w:rsidR="00462A9E" w:rsidRPr="00AB187A" w:rsidRDefault="00462A9E" w:rsidP="00D41B1F">
            <w:pPr>
              <w:spacing w:line="480" w:lineRule="auto"/>
              <w:rPr>
                <w:b w:val="0"/>
              </w:rPr>
            </w:pPr>
            <w:r w:rsidRPr="00AB187A">
              <w:rPr>
                <w:b w:val="0"/>
              </w:rPr>
              <w:t xml:space="preserve">Intellectual disability or intellectual disabilities or intellectual disabled or intellectual and developmental disabilities or intellectual and developmental disabled or IDD or developmental disabilities or developmental disability or developmental disabled or developmentally disabled or learning disability or learning disabled or learning disabilities or disabilities or disabled or disability or disable or developmental and intellectual disabilities AND occupational therapy or occupational therapist or occupational therapists or </w:t>
            </w:r>
            <w:proofErr w:type="spellStart"/>
            <w:r w:rsidRPr="00AB187A">
              <w:rPr>
                <w:b w:val="0"/>
              </w:rPr>
              <w:t>ot</w:t>
            </w:r>
            <w:proofErr w:type="spellEnd"/>
            <w:r w:rsidRPr="00AB187A">
              <w:rPr>
                <w:b w:val="0"/>
              </w:rPr>
              <w:t xml:space="preserve"> or </w:t>
            </w:r>
            <w:proofErr w:type="spellStart"/>
            <w:r w:rsidRPr="00AB187A">
              <w:rPr>
                <w:b w:val="0"/>
              </w:rPr>
              <w:t>ot</w:t>
            </w:r>
            <w:proofErr w:type="spellEnd"/>
            <w:r w:rsidRPr="00AB187A">
              <w:rPr>
                <w:b w:val="0"/>
              </w:rPr>
              <w:t xml:space="preserve"> practitioner or </w:t>
            </w:r>
            <w:proofErr w:type="spellStart"/>
            <w:r w:rsidRPr="00AB187A">
              <w:rPr>
                <w:b w:val="0"/>
              </w:rPr>
              <w:t>ot</w:t>
            </w:r>
            <w:proofErr w:type="spellEnd"/>
            <w:r w:rsidRPr="00AB187A">
              <w:rPr>
                <w:b w:val="0"/>
              </w:rPr>
              <w:t xml:space="preserve"> practitioners or </w:t>
            </w:r>
            <w:proofErr w:type="spellStart"/>
            <w:r w:rsidRPr="00AB187A">
              <w:rPr>
                <w:b w:val="0"/>
              </w:rPr>
              <w:t>ots</w:t>
            </w:r>
            <w:proofErr w:type="spellEnd"/>
            <w:r w:rsidRPr="00AB187A">
              <w:rPr>
                <w:b w:val="0"/>
              </w:rPr>
              <w:t xml:space="preserve"> AND youth or adolescents or </w:t>
            </w:r>
            <w:r w:rsidRPr="00AB187A">
              <w:rPr>
                <w:b w:val="0"/>
              </w:rPr>
              <w:lastRenderedPageBreak/>
              <w:t>young people or teen or young adults or teens or teenagers or young adult or adolescence AND independence or independent or autonomy or self-efficacy AND interventions or strategies or best practices or treatment or therapy or program or management</w:t>
            </w:r>
          </w:p>
        </w:tc>
        <w:tc>
          <w:tcPr>
            <w:tcW w:w="0" w:type="auto"/>
          </w:tcPr>
          <w:p w14:paraId="11D14F0A" w14:textId="77777777" w:rsidR="00462A9E" w:rsidRDefault="00462A9E" w:rsidP="00D41B1F">
            <w:pPr>
              <w:spacing w:line="480" w:lineRule="auto"/>
              <w:rPr>
                <w:bCs/>
              </w:rPr>
            </w:pPr>
            <w:r>
              <w:rPr>
                <w:bCs/>
              </w:rPr>
              <w:lastRenderedPageBreak/>
              <w:t>94</w:t>
            </w:r>
          </w:p>
        </w:tc>
      </w:tr>
      <w:tr w:rsidR="00462A9E" w14:paraId="17A307A9" w14:textId="77777777" w:rsidTr="00462A9E">
        <w:trPr>
          <w:trHeight w:val="614"/>
        </w:trPr>
        <w:tc>
          <w:tcPr>
            <w:tcW w:w="0" w:type="auto"/>
          </w:tcPr>
          <w:p w14:paraId="01168A9B" w14:textId="77777777" w:rsidR="00462A9E" w:rsidRDefault="00462A9E" w:rsidP="00D41B1F">
            <w:pPr>
              <w:rPr>
                <w:bCs/>
              </w:rPr>
            </w:pPr>
          </w:p>
          <w:p w14:paraId="58D00EBC" w14:textId="77777777" w:rsidR="00462A9E" w:rsidRDefault="00462A9E" w:rsidP="00D41B1F">
            <w:pPr>
              <w:rPr>
                <w:bCs/>
              </w:rPr>
            </w:pPr>
            <w:r>
              <w:rPr>
                <w:bCs/>
              </w:rPr>
              <w:t xml:space="preserve">APA </w:t>
            </w:r>
            <w:proofErr w:type="spellStart"/>
            <w:r>
              <w:rPr>
                <w:bCs/>
              </w:rPr>
              <w:t>PsychInfo</w:t>
            </w:r>
            <w:proofErr w:type="spellEnd"/>
          </w:p>
          <w:p w14:paraId="40D22581" w14:textId="77777777" w:rsidR="00462A9E" w:rsidRDefault="00462A9E" w:rsidP="00D41B1F">
            <w:pPr>
              <w:rPr>
                <w:bCs/>
              </w:rPr>
            </w:pPr>
          </w:p>
          <w:p w14:paraId="58F597AF" w14:textId="77777777" w:rsidR="00462A9E" w:rsidRDefault="00462A9E" w:rsidP="00D41B1F">
            <w:pPr>
              <w:rPr>
                <w:bCs/>
              </w:rPr>
            </w:pPr>
          </w:p>
          <w:p w14:paraId="60C8FBE6" w14:textId="77777777" w:rsidR="00462A9E" w:rsidRDefault="00462A9E" w:rsidP="00D41B1F">
            <w:pPr>
              <w:rPr>
                <w:bCs/>
              </w:rPr>
            </w:pPr>
          </w:p>
        </w:tc>
        <w:tc>
          <w:tcPr>
            <w:tcW w:w="0" w:type="auto"/>
          </w:tcPr>
          <w:p w14:paraId="197492E7" w14:textId="77777777" w:rsidR="00462A9E" w:rsidRDefault="00462A9E" w:rsidP="00D41B1F">
            <w:pPr>
              <w:spacing w:line="480" w:lineRule="auto"/>
              <w:rPr>
                <w:bCs/>
              </w:rPr>
            </w:pPr>
            <w:r>
              <w:rPr>
                <w:bCs/>
              </w:rPr>
              <w:t>3/9</w:t>
            </w:r>
          </w:p>
        </w:tc>
        <w:tc>
          <w:tcPr>
            <w:tcW w:w="0" w:type="auto"/>
          </w:tcPr>
          <w:p w14:paraId="2834746C" w14:textId="77777777" w:rsidR="00462A9E" w:rsidRPr="00AB187A" w:rsidRDefault="00462A9E" w:rsidP="00D41B1F">
            <w:pPr>
              <w:spacing w:line="480" w:lineRule="auto"/>
              <w:rPr>
                <w:b w:val="0"/>
              </w:rPr>
            </w:pPr>
            <w:r w:rsidRPr="00AB187A">
              <w:rPr>
                <w:b w:val="0"/>
              </w:rPr>
              <w:t xml:space="preserve">Intellectual disability or intellectual disabilities or intellectual disabled or intellectual and developmental disabilities or intellectual and developmental disabled or IDD or developmental disabilities or developmental disability or developmental disabled or developmentally disabled or learning disability or learning disabled or learning disabilities or disabilities or disabled or disability or disable or developmental and intellectual disabilities AND occupational therapy or occupational therapist or occupational therapists or </w:t>
            </w:r>
            <w:proofErr w:type="spellStart"/>
            <w:r w:rsidRPr="00AB187A">
              <w:rPr>
                <w:b w:val="0"/>
              </w:rPr>
              <w:t>ot</w:t>
            </w:r>
            <w:proofErr w:type="spellEnd"/>
            <w:r w:rsidRPr="00AB187A">
              <w:rPr>
                <w:b w:val="0"/>
              </w:rPr>
              <w:t xml:space="preserve"> or </w:t>
            </w:r>
            <w:proofErr w:type="spellStart"/>
            <w:r w:rsidRPr="00AB187A">
              <w:rPr>
                <w:b w:val="0"/>
              </w:rPr>
              <w:t>ot</w:t>
            </w:r>
            <w:proofErr w:type="spellEnd"/>
            <w:r w:rsidRPr="00AB187A">
              <w:rPr>
                <w:b w:val="0"/>
              </w:rPr>
              <w:t xml:space="preserve"> practitioner or </w:t>
            </w:r>
            <w:proofErr w:type="spellStart"/>
            <w:r w:rsidRPr="00AB187A">
              <w:rPr>
                <w:b w:val="0"/>
              </w:rPr>
              <w:t>ot</w:t>
            </w:r>
            <w:proofErr w:type="spellEnd"/>
            <w:r w:rsidRPr="00AB187A">
              <w:rPr>
                <w:b w:val="0"/>
              </w:rPr>
              <w:t xml:space="preserve"> practitioners or </w:t>
            </w:r>
            <w:proofErr w:type="spellStart"/>
            <w:r w:rsidRPr="00AB187A">
              <w:rPr>
                <w:b w:val="0"/>
              </w:rPr>
              <w:t>ots</w:t>
            </w:r>
            <w:proofErr w:type="spellEnd"/>
            <w:r w:rsidRPr="00AB187A">
              <w:rPr>
                <w:b w:val="0"/>
              </w:rPr>
              <w:t xml:space="preserve"> AND youth or adolescents or young people or teen or young adults or teens or teenagers or young adult or adolescence AND independence or independent or autonomy or self-efficacy AND interventions or strategies or best practices or treatment or therapy or program or management</w:t>
            </w:r>
          </w:p>
        </w:tc>
        <w:tc>
          <w:tcPr>
            <w:tcW w:w="0" w:type="auto"/>
          </w:tcPr>
          <w:p w14:paraId="7F63182A" w14:textId="77777777" w:rsidR="00462A9E" w:rsidRDefault="00462A9E" w:rsidP="00D41B1F">
            <w:pPr>
              <w:spacing w:line="480" w:lineRule="auto"/>
              <w:rPr>
                <w:bCs/>
              </w:rPr>
            </w:pPr>
            <w:r>
              <w:rPr>
                <w:bCs/>
              </w:rPr>
              <w:t>195</w:t>
            </w:r>
          </w:p>
        </w:tc>
      </w:tr>
      <w:tr w:rsidR="00462A9E" w14:paraId="23044B61" w14:textId="77777777" w:rsidTr="00462A9E">
        <w:trPr>
          <w:trHeight w:val="614"/>
        </w:trPr>
        <w:tc>
          <w:tcPr>
            <w:tcW w:w="0" w:type="auto"/>
          </w:tcPr>
          <w:p w14:paraId="6469905F" w14:textId="77777777" w:rsidR="00462A9E" w:rsidRDefault="00462A9E" w:rsidP="00D41B1F">
            <w:pPr>
              <w:rPr>
                <w:bCs/>
              </w:rPr>
            </w:pPr>
            <w:r>
              <w:rPr>
                <w:bCs/>
              </w:rPr>
              <w:t xml:space="preserve">ERIC </w:t>
            </w:r>
          </w:p>
        </w:tc>
        <w:tc>
          <w:tcPr>
            <w:tcW w:w="0" w:type="auto"/>
          </w:tcPr>
          <w:p w14:paraId="40D46C45" w14:textId="77777777" w:rsidR="00462A9E" w:rsidRDefault="00462A9E" w:rsidP="00D41B1F">
            <w:pPr>
              <w:spacing w:line="480" w:lineRule="auto"/>
              <w:rPr>
                <w:bCs/>
              </w:rPr>
            </w:pPr>
            <w:r>
              <w:rPr>
                <w:bCs/>
              </w:rPr>
              <w:t xml:space="preserve">3/9 </w:t>
            </w:r>
          </w:p>
        </w:tc>
        <w:tc>
          <w:tcPr>
            <w:tcW w:w="0" w:type="auto"/>
          </w:tcPr>
          <w:p w14:paraId="304A7227" w14:textId="77777777" w:rsidR="00462A9E" w:rsidRPr="00AB187A" w:rsidRDefault="00462A9E" w:rsidP="00D41B1F">
            <w:pPr>
              <w:spacing w:line="480" w:lineRule="auto"/>
              <w:rPr>
                <w:b w:val="0"/>
              </w:rPr>
            </w:pPr>
            <w:r w:rsidRPr="00AB187A">
              <w:rPr>
                <w:b w:val="0"/>
              </w:rPr>
              <w:t xml:space="preserve">Intellectual disability or intellectual disabilities or intellectual disabled or intellectual and developmental disabilities or intellectual and developmental disabled or IDD or developmental disabilities or developmental disability or developmental disabled or developmentally disabled or learning disability or learning disabled or learning disabilities or disabilities or disabled or disability or disable or developmental and intellectual disabilities AND occupational therapy or occupational therapist or occupational therapists or </w:t>
            </w:r>
            <w:proofErr w:type="spellStart"/>
            <w:r w:rsidRPr="00AB187A">
              <w:rPr>
                <w:b w:val="0"/>
              </w:rPr>
              <w:t>ot</w:t>
            </w:r>
            <w:proofErr w:type="spellEnd"/>
            <w:r w:rsidRPr="00AB187A">
              <w:rPr>
                <w:b w:val="0"/>
              </w:rPr>
              <w:t xml:space="preserve"> or </w:t>
            </w:r>
            <w:proofErr w:type="spellStart"/>
            <w:r w:rsidRPr="00AB187A">
              <w:rPr>
                <w:b w:val="0"/>
              </w:rPr>
              <w:t>ot</w:t>
            </w:r>
            <w:proofErr w:type="spellEnd"/>
            <w:r w:rsidRPr="00AB187A">
              <w:rPr>
                <w:b w:val="0"/>
              </w:rPr>
              <w:t xml:space="preserve"> practitioner or </w:t>
            </w:r>
            <w:proofErr w:type="spellStart"/>
            <w:r w:rsidRPr="00AB187A">
              <w:rPr>
                <w:b w:val="0"/>
              </w:rPr>
              <w:t>ot</w:t>
            </w:r>
            <w:proofErr w:type="spellEnd"/>
            <w:r w:rsidRPr="00AB187A">
              <w:rPr>
                <w:b w:val="0"/>
              </w:rPr>
              <w:t xml:space="preserve"> practitioners or </w:t>
            </w:r>
            <w:proofErr w:type="spellStart"/>
            <w:r w:rsidRPr="00AB187A">
              <w:rPr>
                <w:b w:val="0"/>
              </w:rPr>
              <w:t>ots</w:t>
            </w:r>
            <w:proofErr w:type="spellEnd"/>
            <w:r w:rsidRPr="00AB187A">
              <w:rPr>
                <w:b w:val="0"/>
              </w:rPr>
              <w:t xml:space="preserve"> AND youth or adolescents or young people or teen or young adults or teens or teenagers or young adult or adolescence AND independence or independent or autonomy or self-</w:t>
            </w:r>
            <w:r w:rsidRPr="00AB187A">
              <w:rPr>
                <w:b w:val="0"/>
              </w:rPr>
              <w:lastRenderedPageBreak/>
              <w:t>efficacy AND interventions or strategies or best practices or treatment or therapy or program or management</w:t>
            </w:r>
          </w:p>
        </w:tc>
        <w:tc>
          <w:tcPr>
            <w:tcW w:w="0" w:type="auto"/>
          </w:tcPr>
          <w:p w14:paraId="330A08E7" w14:textId="77777777" w:rsidR="00462A9E" w:rsidRDefault="00462A9E" w:rsidP="00D41B1F">
            <w:pPr>
              <w:spacing w:line="480" w:lineRule="auto"/>
              <w:rPr>
                <w:bCs/>
              </w:rPr>
            </w:pPr>
            <w:r>
              <w:rPr>
                <w:bCs/>
              </w:rPr>
              <w:lastRenderedPageBreak/>
              <w:t>19</w:t>
            </w:r>
          </w:p>
        </w:tc>
      </w:tr>
      <w:tr w:rsidR="00462A9E" w14:paraId="583666F2" w14:textId="77777777" w:rsidTr="00462A9E">
        <w:trPr>
          <w:trHeight w:val="614"/>
        </w:trPr>
        <w:tc>
          <w:tcPr>
            <w:tcW w:w="0" w:type="auto"/>
          </w:tcPr>
          <w:p w14:paraId="76CC8A52" w14:textId="77777777" w:rsidR="00462A9E" w:rsidRDefault="00462A9E" w:rsidP="00D41B1F">
            <w:pPr>
              <w:rPr>
                <w:bCs/>
              </w:rPr>
            </w:pPr>
            <w:r>
              <w:rPr>
                <w:bCs/>
              </w:rPr>
              <w:t xml:space="preserve">Medline Full text </w:t>
            </w:r>
          </w:p>
        </w:tc>
        <w:tc>
          <w:tcPr>
            <w:tcW w:w="0" w:type="auto"/>
          </w:tcPr>
          <w:p w14:paraId="1FE373F0" w14:textId="77777777" w:rsidR="00462A9E" w:rsidRDefault="00462A9E" w:rsidP="00D41B1F">
            <w:pPr>
              <w:spacing w:line="480" w:lineRule="auto"/>
              <w:rPr>
                <w:bCs/>
              </w:rPr>
            </w:pPr>
            <w:r>
              <w:rPr>
                <w:bCs/>
              </w:rPr>
              <w:t>3/9</w:t>
            </w:r>
          </w:p>
        </w:tc>
        <w:tc>
          <w:tcPr>
            <w:tcW w:w="0" w:type="auto"/>
          </w:tcPr>
          <w:p w14:paraId="73E3734F" w14:textId="77777777" w:rsidR="00462A9E" w:rsidRPr="00AB187A" w:rsidRDefault="00462A9E" w:rsidP="00D41B1F">
            <w:pPr>
              <w:spacing w:line="480" w:lineRule="auto"/>
              <w:rPr>
                <w:b w:val="0"/>
              </w:rPr>
            </w:pPr>
            <w:r w:rsidRPr="00AB187A">
              <w:rPr>
                <w:b w:val="0"/>
              </w:rPr>
              <w:t xml:space="preserve">Intellectual disability or intellectual disabilities or intellectual disabled or intellectual and developmental disabilities or intellectual and developmental disabled or IDD or developmental disabilities or developmental disability or developmental disabled or developmentally disabled or learning disability or learning disabled or learning disabilities or disabilities or disabled or disability or disable or developmental and intellectual disabilities AND occupational therapy or occupational therapist or occupational therapists or </w:t>
            </w:r>
            <w:proofErr w:type="spellStart"/>
            <w:r w:rsidRPr="00AB187A">
              <w:rPr>
                <w:b w:val="0"/>
              </w:rPr>
              <w:t>ot</w:t>
            </w:r>
            <w:proofErr w:type="spellEnd"/>
            <w:r w:rsidRPr="00AB187A">
              <w:rPr>
                <w:b w:val="0"/>
              </w:rPr>
              <w:t xml:space="preserve"> or </w:t>
            </w:r>
            <w:proofErr w:type="spellStart"/>
            <w:r w:rsidRPr="00AB187A">
              <w:rPr>
                <w:b w:val="0"/>
              </w:rPr>
              <w:t>ot</w:t>
            </w:r>
            <w:proofErr w:type="spellEnd"/>
            <w:r w:rsidRPr="00AB187A">
              <w:rPr>
                <w:b w:val="0"/>
              </w:rPr>
              <w:t xml:space="preserve"> practitioner or </w:t>
            </w:r>
            <w:proofErr w:type="spellStart"/>
            <w:r w:rsidRPr="00AB187A">
              <w:rPr>
                <w:b w:val="0"/>
              </w:rPr>
              <w:t>ot</w:t>
            </w:r>
            <w:proofErr w:type="spellEnd"/>
            <w:r w:rsidRPr="00AB187A">
              <w:rPr>
                <w:b w:val="0"/>
              </w:rPr>
              <w:t xml:space="preserve"> practitioners or </w:t>
            </w:r>
            <w:proofErr w:type="spellStart"/>
            <w:r w:rsidRPr="00AB187A">
              <w:rPr>
                <w:b w:val="0"/>
              </w:rPr>
              <w:t>ots</w:t>
            </w:r>
            <w:proofErr w:type="spellEnd"/>
            <w:r w:rsidRPr="00AB187A">
              <w:rPr>
                <w:b w:val="0"/>
              </w:rPr>
              <w:t xml:space="preserve"> AND youth or adolescents or young people or teen or young adults or teens or teenagers or young adult or adolescence AND independence or independent or autonomy or self-efficacy AND interventions or strategies or best practices or treatment or therapy or program or management</w:t>
            </w:r>
          </w:p>
        </w:tc>
        <w:tc>
          <w:tcPr>
            <w:tcW w:w="0" w:type="auto"/>
          </w:tcPr>
          <w:p w14:paraId="77CB9595" w14:textId="77777777" w:rsidR="00462A9E" w:rsidRDefault="00462A9E" w:rsidP="00D41B1F">
            <w:pPr>
              <w:spacing w:line="480" w:lineRule="auto"/>
              <w:rPr>
                <w:bCs/>
              </w:rPr>
            </w:pPr>
            <w:r>
              <w:rPr>
                <w:bCs/>
              </w:rPr>
              <w:t>250</w:t>
            </w:r>
          </w:p>
        </w:tc>
      </w:tr>
    </w:tbl>
    <w:p w14:paraId="3A182875" w14:textId="77777777" w:rsidR="00462A9E" w:rsidRDefault="00462A9E" w:rsidP="00462A9E"/>
    <w:p w14:paraId="31E94834" w14:textId="77777777" w:rsidR="00E17220" w:rsidRDefault="007D687A" w:rsidP="00A9456B">
      <w:pPr>
        <w:spacing w:line="480" w:lineRule="auto"/>
        <w:rPr>
          <w:b/>
          <w:bCs/>
          <w:i/>
          <w:iCs/>
        </w:rPr>
      </w:pPr>
      <w:r w:rsidRPr="00A9456B">
        <w:rPr>
          <w:b/>
          <w:bCs/>
          <w:i/>
          <w:iCs/>
        </w:rPr>
        <w:t>Exclusion and Inclusion Criteria</w:t>
      </w:r>
    </w:p>
    <w:p w14:paraId="7FA37AA0" w14:textId="6A720DC3" w:rsidR="007D687A" w:rsidRDefault="00A64491" w:rsidP="00A64491">
      <w:pPr>
        <w:spacing w:line="480" w:lineRule="auto"/>
        <w:ind w:firstLine="720"/>
      </w:pPr>
      <w:r>
        <w:t>The articles included were peer</w:t>
      </w:r>
      <w:r w:rsidR="00747726">
        <w:t>-</w:t>
      </w:r>
      <w:r>
        <w:t xml:space="preserve">reviewed and written in English. </w:t>
      </w:r>
      <w:r w:rsidR="00A9456B">
        <w:t xml:space="preserve">Articles </w:t>
      </w:r>
      <w:r>
        <w:t>that</w:t>
      </w:r>
      <w:r w:rsidR="00A9456B">
        <w:t xml:space="preserve"> contained therapy interventions </w:t>
      </w:r>
      <w:r>
        <w:t xml:space="preserve">focused on ADLs and IADLs provided by occupational therapy, </w:t>
      </w:r>
      <w:r w:rsidR="00A9456B">
        <w:t xml:space="preserve">physical </w:t>
      </w:r>
      <w:r>
        <w:t>therapy</w:t>
      </w:r>
      <w:r w:rsidR="00A9456B">
        <w:t>, speech</w:t>
      </w:r>
      <w:r w:rsidR="00747726">
        <w:t>-</w:t>
      </w:r>
      <w:r w:rsidR="00A9456B">
        <w:t xml:space="preserve">language </w:t>
      </w:r>
      <w:r>
        <w:t>pathology</w:t>
      </w:r>
      <w:r w:rsidR="00A9456B">
        <w:t xml:space="preserve">, and other interdisciplinary professions </w:t>
      </w:r>
      <w:r>
        <w:t>were included</w:t>
      </w:r>
      <w:r w:rsidR="00A9456B">
        <w:t xml:space="preserve">. </w:t>
      </w:r>
      <w:r>
        <w:t xml:space="preserve">Participants in the articles had to be young adults/adolescents aged </w:t>
      </w:r>
      <w:r w:rsidR="00A9456B">
        <w:t xml:space="preserve">13-35 years </w:t>
      </w:r>
      <w:r w:rsidR="0036199D">
        <w:t xml:space="preserve">old </w:t>
      </w:r>
      <w:r>
        <w:t>with a diagnosis of an in</w:t>
      </w:r>
      <w:r w:rsidR="0036199D">
        <w:t xml:space="preserve">tellectual and developmental disability. </w:t>
      </w:r>
      <w:r w:rsidR="007D687A">
        <w:t xml:space="preserve">Articles that were excluded if the study was a non-therapy intervention. </w:t>
      </w:r>
    </w:p>
    <w:p w14:paraId="739C6895" w14:textId="77777777" w:rsidR="00E17220" w:rsidRDefault="007D687A" w:rsidP="00A9456B">
      <w:pPr>
        <w:spacing w:line="480" w:lineRule="auto"/>
        <w:rPr>
          <w:b/>
          <w:bCs/>
        </w:rPr>
      </w:pPr>
      <w:r w:rsidRPr="00A9456B">
        <w:rPr>
          <w:b/>
          <w:bCs/>
          <w:i/>
          <w:iCs/>
        </w:rPr>
        <w:t>Selection of Sources</w:t>
      </w:r>
    </w:p>
    <w:p w14:paraId="7ADE54F8" w14:textId="661E47DE" w:rsidR="00447B30" w:rsidRDefault="007D687A" w:rsidP="00E17220">
      <w:pPr>
        <w:spacing w:line="480" w:lineRule="auto"/>
        <w:ind w:firstLine="720"/>
      </w:pPr>
      <w:r>
        <w:t xml:space="preserve">Primary investigators and secondary reviewers </w:t>
      </w:r>
      <w:r w:rsidR="00D45EEC">
        <w:t xml:space="preserve">of this scoping review </w:t>
      </w:r>
      <w:r>
        <w:t xml:space="preserve">independently screened the </w:t>
      </w:r>
      <w:r w:rsidR="00747726">
        <w:t xml:space="preserve">titles and abstracts of the articles </w:t>
      </w:r>
      <w:r>
        <w:t>to determine inclusion</w:t>
      </w:r>
      <w:r w:rsidR="00C06F90">
        <w:t>.</w:t>
      </w:r>
      <w:r w:rsidR="00D45EEC" w:rsidRPr="00D45EEC">
        <w:t xml:space="preserve"> </w:t>
      </w:r>
      <w:r w:rsidR="00D45EEC">
        <w:t>Th</w:t>
      </w:r>
      <w:r w:rsidR="00E17220">
        <w:t>e</w:t>
      </w:r>
      <w:r w:rsidR="00D45EEC">
        <w:t xml:space="preserve"> software Rayaan</w:t>
      </w:r>
      <w:r w:rsidR="00E17220">
        <w:t xml:space="preserve"> screened and removed</w:t>
      </w:r>
      <w:r w:rsidR="00D45EEC">
        <w:t xml:space="preserve"> duplicate</w:t>
      </w:r>
      <w:r w:rsidR="00E17220">
        <w:t>s</w:t>
      </w:r>
      <w:r w:rsidR="00C06F90">
        <w:t xml:space="preserve"> of articles (</w:t>
      </w:r>
      <w:proofErr w:type="spellStart"/>
      <w:r w:rsidR="00C06F90">
        <w:t>Ouzzani</w:t>
      </w:r>
      <w:proofErr w:type="spellEnd"/>
      <w:r w:rsidR="00C06F90">
        <w:t xml:space="preserve"> et al., 2016)</w:t>
      </w:r>
      <w:r w:rsidR="00D45EEC">
        <w:t>.</w:t>
      </w:r>
      <w:r w:rsidR="00A64491">
        <w:t xml:space="preserve"> </w:t>
      </w:r>
      <w:r w:rsidR="00D45EEC">
        <w:t xml:space="preserve">Data items included in the </w:t>
      </w:r>
      <w:r w:rsidR="00D45EEC">
        <w:lastRenderedPageBreak/>
        <w:t>extraction table include citation, author, year, aim/purpose, study design, diagnosis, description of intervention, findings/results, age, and level of independence.</w:t>
      </w:r>
      <w:r>
        <w:t xml:space="preserve"> </w:t>
      </w:r>
      <w:r w:rsidR="00A64491">
        <w:t>To determine eligibility titles and abstracts were screened. Full texts will be downloaded to determine exclusion and inclusion. Discrepancies</w:t>
      </w:r>
      <w:r>
        <w:t xml:space="preserve"> will be discussed</w:t>
      </w:r>
      <w:r w:rsidR="00E17220">
        <w:t xml:space="preserve"> with </w:t>
      </w:r>
      <w:r w:rsidR="00A64491">
        <w:t xml:space="preserve">the primary investigator and the secondary </w:t>
      </w:r>
      <w:r w:rsidR="00E17220">
        <w:t>reviewers</w:t>
      </w:r>
      <w:r>
        <w:t xml:space="preserve"> to determine if </w:t>
      </w:r>
      <w:r w:rsidR="00747726">
        <w:t>they</w:t>
      </w:r>
      <w:r>
        <w:t xml:space="preserve"> should be included or excluded from the review. Once the searches were completed and sources were identified, the evidence table selection process began.</w:t>
      </w:r>
      <w:r w:rsidR="00BB78F0">
        <w:t xml:space="preserve"> Refer to Table 2</w:t>
      </w:r>
      <w:r w:rsidR="009A687A">
        <w:t xml:space="preserve">. </w:t>
      </w:r>
    </w:p>
    <w:p w14:paraId="02FCEEDE" w14:textId="77777777" w:rsidR="00A64491" w:rsidRDefault="00A64491" w:rsidP="00E17220">
      <w:pPr>
        <w:spacing w:line="480" w:lineRule="auto"/>
        <w:ind w:firstLine="720"/>
      </w:pPr>
    </w:p>
    <w:p w14:paraId="1D18FC46" w14:textId="7F82226E" w:rsidR="00A64491" w:rsidRDefault="00A64491" w:rsidP="009A687A">
      <w:pPr>
        <w:spacing w:line="480" w:lineRule="auto"/>
        <w:sectPr w:rsidR="00A64491" w:rsidSect="00A650AB">
          <w:headerReference w:type="default" r:id="rId7"/>
          <w:pgSz w:w="12240" w:h="15840"/>
          <w:pgMar w:top="1440" w:right="1440" w:bottom="1440" w:left="1440" w:header="720" w:footer="720" w:gutter="0"/>
          <w:cols w:space="720"/>
          <w:docGrid w:linePitch="360"/>
        </w:sectPr>
      </w:pPr>
    </w:p>
    <w:tbl>
      <w:tblPr>
        <w:tblStyle w:val="TableGrid"/>
        <w:tblpPr w:leftFromText="180" w:rightFromText="180" w:vertAnchor="text" w:horzAnchor="margin" w:tblpX="-270" w:tblpY="-128"/>
        <w:tblW w:w="15138" w:type="dxa"/>
        <w:tblLayout w:type="fixed"/>
        <w:tblLook w:val="04A0" w:firstRow="1" w:lastRow="0" w:firstColumn="1" w:lastColumn="0" w:noHBand="0" w:noVBand="1"/>
      </w:tblPr>
      <w:tblGrid>
        <w:gridCol w:w="2340"/>
        <w:gridCol w:w="2160"/>
        <w:gridCol w:w="1710"/>
        <w:gridCol w:w="1620"/>
        <w:gridCol w:w="2160"/>
        <w:gridCol w:w="2088"/>
        <w:gridCol w:w="1530"/>
        <w:gridCol w:w="1530"/>
      </w:tblGrid>
      <w:tr w:rsidR="00BB78F0" w:rsidRPr="007B4E61" w14:paraId="5BDB7AE0" w14:textId="77777777" w:rsidTr="00D3284A">
        <w:tc>
          <w:tcPr>
            <w:tcW w:w="6210" w:type="dxa"/>
            <w:gridSpan w:val="3"/>
            <w:tcBorders>
              <w:top w:val="nil"/>
              <w:left w:val="nil"/>
              <w:bottom w:val="single" w:sz="4" w:space="0" w:color="auto"/>
              <w:right w:val="nil"/>
            </w:tcBorders>
          </w:tcPr>
          <w:p w14:paraId="4A49F8CC" w14:textId="0BADC28E" w:rsidR="00BB78F0" w:rsidRDefault="00BB78F0" w:rsidP="00D3284A">
            <w:pPr>
              <w:tabs>
                <w:tab w:val="left" w:pos="900"/>
              </w:tabs>
              <w:rPr>
                <w:rFonts w:eastAsiaTheme="minorHAnsi"/>
                <w:b w:val="0"/>
                <w:bCs/>
              </w:rPr>
            </w:pPr>
            <w:r>
              <w:rPr>
                <w:rFonts w:eastAsiaTheme="minorHAnsi"/>
                <w:bCs/>
              </w:rPr>
              <w:lastRenderedPageBreak/>
              <w:t>Table 2.</w:t>
            </w:r>
          </w:p>
          <w:p w14:paraId="12DA8274" w14:textId="77777777" w:rsidR="00BB78F0" w:rsidRPr="006F0AB1" w:rsidRDefault="00BB78F0" w:rsidP="00D3284A">
            <w:pPr>
              <w:tabs>
                <w:tab w:val="left" w:pos="900"/>
              </w:tabs>
              <w:rPr>
                <w:rFonts w:eastAsiaTheme="minorHAnsi"/>
                <w:b w:val="0"/>
                <w:bCs/>
              </w:rPr>
            </w:pPr>
          </w:p>
          <w:p w14:paraId="63CB5589" w14:textId="4F610A74" w:rsidR="00BB78F0" w:rsidRPr="00813F88" w:rsidRDefault="00BB78F0" w:rsidP="00D3284A">
            <w:pPr>
              <w:tabs>
                <w:tab w:val="left" w:pos="900"/>
              </w:tabs>
              <w:rPr>
                <w:rFonts w:eastAsiaTheme="minorHAnsi"/>
                <w:b w:val="0"/>
                <w:bCs/>
              </w:rPr>
            </w:pPr>
            <w:r>
              <w:rPr>
                <w:rFonts w:eastAsiaTheme="minorHAnsi"/>
                <w:i/>
                <w:iCs/>
              </w:rPr>
              <w:t xml:space="preserve">Data Extraction Table. </w:t>
            </w:r>
          </w:p>
        </w:tc>
        <w:tc>
          <w:tcPr>
            <w:tcW w:w="1620" w:type="dxa"/>
            <w:tcBorders>
              <w:top w:val="nil"/>
              <w:left w:val="nil"/>
              <w:bottom w:val="single" w:sz="4" w:space="0" w:color="auto"/>
              <w:right w:val="nil"/>
            </w:tcBorders>
          </w:tcPr>
          <w:p w14:paraId="0A9D47DB" w14:textId="77777777" w:rsidR="00BB78F0" w:rsidRPr="00813F88" w:rsidRDefault="00BB78F0" w:rsidP="00D3284A">
            <w:pPr>
              <w:tabs>
                <w:tab w:val="left" w:pos="900"/>
              </w:tabs>
              <w:rPr>
                <w:rFonts w:eastAsiaTheme="minorHAnsi"/>
                <w:b w:val="0"/>
                <w:bCs/>
              </w:rPr>
            </w:pPr>
          </w:p>
        </w:tc>
        <w:tc>
          <w:tcPr>
            <w:tcW w:w="2160" w:type="dxa"/>
            <w:tcBorders>
              <w:top w:val="nil"/>
              <w:left w:val="nil"/>
              <w:bottom w:val="single" w:sz="4" w:space="0" w:color="auto"/>
              <w:right w:val="nil"/>
            </w:tcBorders>
          </w:tcPr>
          <w:p w14:paraId="4EDA634A" w14:textId="77777777" w:rsidR="00BB78F0" w:rsidRPr="00813F88" w:rsidRDefault="00BB78F0" w:rsidP="00D3284A">
            <w:pPr>
              <w:tabs>
                <w:tab w:val="left" w:pos="900"/>
              </w:tabs>
              <w:rPr>
                <w:rFonts w:eastAsiaTheme="minorHAnsi"/>
                <w:b w:val="0"/>
                <w:bCs/>
              </w:rPr>
            </w:pPr>
          </w:p>
        </w:tc>
        <w:tc>
          <w:tcPr>
            <w:tcW w:w="2088" w:type="dxa"/>
            <w:tcBorders>
              <w:top w:val="nil"/>
              <w:left w:val="nil"/>
              <w:bottom w:val="single" w:sz="4" w:space="0" w:color="auto"/>
              <w:right w:val="nil"/>
            </w:tcBorders>
          </w:tcPr>
          <w:p w14:paraId="2B1FF9B5" w14:textId="77777777" w:rsidR="00BB78F0" w:rsidRPr="00813F88" w:rsidRDefault="00BB78F0" w:rsidP="00D3284A">
            <w:pPr>
              <w:tabs>
                <w:tab w:val="left" w:pos="900"/>
              </w:tabs>
              <w:rPr>
                <w:rFonts w:eastAsiaTheme="minorHAnsi"/>
                <w:b w:val="0"/>
                <w:bCs/>
              </w:rPr>
            </w:pPr>
          </w:p>
        </w:tc>
        <w:tc>
          <w:tcPr>
            <w:tcW w:w="1530" w:type="dxa"/>
            <w:tcBorders>
              <w:top w:val="nil"/>
              <w:left w:val="nil"/>
              <w:bottom w:val="single" w:sz="4" w:space="0" w:color="auto"/>
              <w:right w:val="nil"/>
            </w:tcBorders>
          </w:tcPr>
          <w:p w14:paraId="04BB56D8" w14:textId="77777777" w:rsidR="00BB78F0" w:rsidRPr="00813F88" w:rsidRDefault="00BB78F0" w:rsidP="00D3284A">
            <w:pPr>
              <w:tabs>
                <w:tab w:val="left" w:pos="900"/>
              </w:tabs>
              <w:rPr>
                <w:rFonts w:eastAsiaTheme="minorHAnsi"/>
                <w:b w:val="0"/>
                <w:bCs/>
              </w:rPr>
            </w:pPr>
          </w:p>
        </w:tc>
        <w:tc>
          <w:tcPr>
            <w:tcW w:w="1530" w:type="dxa"/>
            <w:tcBorders>
              <w:top w:val="nil"/>
              <w:left w:val="nil"/>
              <w:bottom w:val="single" w:sz="4" w:space="0" w:color="auto"/>
              <w:right w:val="nil"/>
            </w:tcBorders>
          </w:tcPr>
          <w:p w14:paraId="21FF57E4" w14:textId="77777777" w:rsidR="00BB78F0" w:rsidRPr="00813F88" w:rsidRDefault="00BB78F0" w:rsidP="00D3284A">
            <w:pPr>
              <w:tabs>
                <w:tab w:val="left" w:pos="900"/>
              </w:tabs>
              <w:rPr>
                <w:rFonts w:eastAsiaTheme="minorHAnsi"/>
                <w:b w:val="0"/>
                <w:bCs/>
              </w:rPr>
            </w:pPr>
          </w:p>
        </w:tc>
      </w:tr>
      <w:tr w:rsidR="00BB78F0" w:rsidRPr="007B4E61" w14:paraId="1E5FC684" w14:textId="77777777" w:rsidTr="00D3284A">
        <w:tc>
          <w:tcPr>
            <w:tcW w:w="4500" w:type="dxa"/>
            <w:gridSpan w:val="2"/>
            <w:tcBorders>
              <w:top w:val="nil"/>
              <w:left w:val="nil"/>
              <w:bottom w:val="single" w:sz="4" w:space="0" w:color="auto"/>
              <w:right w:val="nil"/>
            </w:tcBorders>
          </w:tcPr>
          <w:p w14:paraId="0E05D44C" w14:textId="77777777" w:rsidR="00BB78F0" w:rsidRPr="00AF1A61" w:rsidRDefault="00BB78F0" w:rsidP="00D3284A">
            <w:pPr>
              <w:tabs>
                <w:tab w:val="left" w:pos="900"/>
              </w:tabs>
              <w:rPr>
                <w:rFonts w:asciiTheme="minorHAnsi" w:eastAsiaTheme="minorHAnsi" w:hAnsiTheme="minorHAnsi" w:cstheme="minorBidi"/>
              </w:rPr>
            </w:pPr>
          </w:p>
        </w:tc>
        <w:tc>
          <w:tcPr>
            <w:tcW w:w="1710" w:type="dxa"/>
            <w:tcBorders>
              <w:top w:val="nil"/>
              <w:left w:val="nil"/>
              <w:bottom w:val="single" w:sz="4" w:space="0" w:color="auto"/>
              <w:right w:val="nil"/>
            </w:tcBorders>
          </w:tcPr>
          <w:p w14:paraId="10AE10D3" w14:textId="77777777" w:rsidR="00BB78F0" w:rsidRPr="00813F88" w:rsidRDefault="00BB78F0" w:rsidP="00D3284A">
            <w:pPr>
              <w:tabs>
                <w:tab w:val="left" w:pos="900"/>
              </w:tabs>
              <w:rPr>
                <w:rFonts w:eastAsiaTheme="minorHAnsi"/>
                <w:b w:val="0"/>
                <w:bCs/>
              </w:rPr>
            </w:pPr>
          </w:p>
        </w:tc>
        <w:tc>
          <w:tcPr>
            <w:tcW w:w="1620" w:type="dxa"/>
            <w:tcBorders>
              <w:top w:val="nil"/>
              <w:left w:val="nil"/>
              <w:bottom w:val="single" w:sz="4" w:space="0" w:color="auto"/>
              <w:right w:val="nil"/>
            </w:tcBorders>
          </w:tcPr>
          <w:p w14:paraId="00C81E63" w14:textId="77777777" w:rsidR="00BB78F0" w:rsidRPr="00813F88" w:rsidRDefault="00BB78F0" w:rsidP="00D3284A">
            <w:pPr>
              <w:tabs>
                <w:tab w:val="left" w:pos="900"/>
              </w:tabs>
              <w:rPr>
                <w:rFonts w:eastAsiaTheme="minorHAnsi"/>
                <w:b w:val="0"/>
                <w:bCs/>
              </w:rPr>
            </w:pPr>
          </w:p>
        </w:tc>
        <w:tc>
          <w:tcPr>
            <w:tcW w:w="2160" w:type="dxa"/>
            <w:tcBorders>
              <w:top w:val="nil"/>
              <w:left w:val="nil"/>
              <w:bottom w:val="single" w:sz="4" w:space="0" w:color="auto"/>
              <w:right w:val="nil"/>
            </w:tcBorders>
          </w:tcPr>
          <w:p w14:paraId="18426421" w14:textId="77777777" w:rsidR="00BB78F0" w:rsidRPr="00813F88" w:rsidRDefault="00BB78F0" w:rsidP="00D3284A">
            <w:pPr>
              <w:tabs>
                <w:tab w:val="left" w:pos="900"/>
              </w:tabs>
              <w:rPr>
                <w:rFonts w:eastAsiaTheme="minorHAnsi"/>
                <w:b w:val="0"/>
                <w:bCs/>
              </w:rPr>
            </w:pPr>
          </w:p>
        </w:tc>
        <w:tc>
          <w:tcPr>
            <w:tcW w:w="2088" w:type="dxa"/>
            <w:tcBorders>
              <w:top w:val="nil"/>
              <w:left w:val="nil"/>
              <w:bottom w:val="single" w:sz="4" w:space="0" w:color="auto"/>
              <w:right w:val="nil"/>
            </w:tcBorders>
          </w:tcPr>
          <w:p w14:paraId="46080741" w14:textId="77777777" w:rsidR="00BB78F0" w:rsidRPr="00813F88" w:rsidRDefault="00BB78F0" w:rsidP="00D3284A">
            <w:pPr>
              <w:tabs>
                <w:tab w:val="left" w:pos="900"/>
              </w:tabs>
              <w:rPr>
                <w:rFonts w:eastAsiaTheme="minorHAnsi"/>
                <w:b w:val="0"/>
                <w:bCs/>
              </w:rPr>
            </w:pPr>
          </w:p>
        </w:tc>
        <w:tc>
          <w:tcPr>
            <w:tcW w:w="1530" w:type="dxa"/>
            <w:tcBorders>
              <w:top w:val="nil"/>
              <w:left w:val="nil"/>
              <w:bottom w:val="single" w:sz="4" w:space="0" w:color="auto"/>
              <w:right w:val="nil"/>
            </w:tcBorders>
          </w:tcPr>
          <w:p w14:paraId="3D0B0F9C" w14:textId="77777777" w:rsidR="00BB78F0" w:rsidRPr="00813F88" w:rsidRDefault="00BB78F0" w:rsidP="00D3284A">
            <w:pPr>
              <w:tabs>
                <w:tab w:val="left" w:pos="900"/>
              </w:tabs>
              <w:rPr>
                <w:rFonts w:eastAsiaTheme="minorHAnsi"/>
                <w:b w:val="0"/>
                <w:bCs/>
              </w:rPr>
            </w:pPr>
          </w:p>
        </w:tc>
        <w:tc>
          <w:tcPr>
            <w:tcW w:w="1530" w:type="dxa"/>
            <w:tcBorders>
              <w:top w:val="nil"/>
              <w:left w:val="nil"/>
              <w:bottom w:val="single" w:sz="4" w:space="0" w:color="auto"/>
              <w:right w:val="nil"/>
            </w:tcBorders>
          </w:tcPr>
          <w:p w14:paraId="6C629E4C" w14:textId="77777777" w:rsidR="00BB78F0" w:rsidRPr="00813F88" w:rsidRDefault="00BB78F0" w:rsidP="00D3284A">
            <w:pPr>
              <w:tabs>
                <w:tab w:val="left" w:pos="900"/>
              </w:tabs>
              <w:rPr>
                <w:rFonts w:eastAsiaTheme="minorHAnsi"/>
                <w:b w:val="0"/>
                <w:bCs/>
              </w:rPr>
            </w:pPr>
          </w:p>
        </w:tc>
      </w:tr>
      <w:tr w:rsidR="00BB78F0" w:rsidRPr="00E564C3" w14:paraId="2FA6D8B9" w14:textId="77777777" w:rsidTr="00D3284A">
        <w:tc>
          <w:tcPr>
            <w:tcW w:w="2340" w:type="dxa"/>
            <w:tcBorders>
              <w:top w:val="single" w:sz="4" w:space="0" w:color="auto"/>
            </w:tcBorders>
          </w:tcPr>
          <w:p w14:paraId="5B4F8800" w14:textId="77777777" w:rsidR="00BB78F0" w:rsidRDefault="00BB78F0" w:rsidP="00D3284A">
            <w:pPr>
              <w:tabs>
                <w:tab w:val="left" w:pos="900"/>
              </w:tabs>
              <w:rPr>
                <w:rFonts w:eastAsiaTheme="minorHAnsi"/>
                <w:b w:val="0"/>
                <w:bCs/>
              </w:rPr>
            </w:pPr>
            <w:r>
              <w:rPr>
                <w:rFonts w:eastAsiaTheme="minorHAnsi"/>
                <w:bCs/>
              </w:rPr>
              <w:t xml:space="preserve">Citation </w:t>
            </w:r>
          </w:p>
          <w:p w14:paraId="15213DDF" w14:textId="77777777" w:rsidR="00BB78F0" w:rsidRPr="00E564C3" w:rsidRDefault="00BB78F0" w:rsidP="00D3284A">
            <w:pPr>
              <w:tabs>
                <w:tab w:val="left" w:pos="900"/>
              </w:tabs>
              <w:rPr>
                <w:rFonts w:eastAsiaTheme="minorHAnsi"/>
                <w:b w:val="0"/>
                <w:bCs/>
              </w:rPr>
            </w:pPr>
            <w:r>
              <w:rPr>
                <w:rFonts w:eastAsiaTheme="minorHAnsi"/>
                <w:bCs/>
              </w:rPr>
              <w:t>(Author(s), year)</w:t>
            </w:r>
          </w:p>
        </w:tc>
        <w:tc>
          <w:tcPr>
            <w:tcW w:w="2160" w:type="dxa"/>
            <w:tcBorders>
              <w:top w:val="single" w:sz="4" w:space="0" w:color="auto"/>
            </w:tcBorders>
          </w:tcPr>
          <w:p w14:paraId="374F4DA2" w14:textId="77777777" w:rsidR="00BB78F0" w:rsidRPr="00E564C3" w:rsidRDefault="00BB78F0" w:rsidP="00D3284A">
            <w:pPr>
              <w:tabs>
                <w:tab w:val="left" w:pos="900"/>
              </w:tabs>
              <w:rPr>
                <w:rFonts w:eastAsiaTheme="minorHAnsi"/>
                <w:b w:val="0"/>
                <w:bCs/>
              </w:rPr>
            </w:pPr>
            <w:r w:rsidRPr="00E564C3">
              <w:rPr>
                <w:rFonts w:eastAsiaTheme="minorHAnsi"/>
                <w:bCs/>
              </w:rPr>
              <w:t>Aim / Purpose</w:t>
            </w:r>
            <w:r>
              <w:rPr>
                <w:rFonts w:eastAsiaTheme="minorHAnsi"/>
                <w:bCs/>
              </w:rPr>
              <w:t xml:space="preserve"> of study</w:t>
            </w:r>
          </w:p>
        </w:tc>
        <w:tc>
          <w:tcPr>
            <w:tcW w:w="1710" w:type="dxa"/>
            <w:tcBorders>
              <w:top w:val="single" w:sz="4" w:space="0" w:color="auto"/>
            </w:tcBorders>
          </w:tcPr>
          <w:p w14:paraId="78620D79" w14:textId="77777777" w:rsidR="00BB78F0" w:rsidRPr="00E564C3" w:rsidRDefault="00BB78F0" w:rsidP="00D3284A">
            <w:pPr>
              <w:tabs>
                <w:tab w:val="left" w:pos="900"/>
              </w:tabs>
              <w:rPr>
                <w:rFonts w:eastAsiaTheme="minorHAnsi"/>
                <w:b w:val="0"/>
                <w:bCs/>
              </w:rPr>
            </w:pPr>
            <w:r>
              <w:rPr>
                <w:rFonts w:eastAsiaTheme="minorHAnsi"/>
                <w:bCs/>
              </w:rPr>
              <w:t xml:space="preserve">Study Design </w:t>
            </w:r>
          </w:p>
        </w:tc>
        <w:tc>
          <w:tcPr>
            <w:tcW w:w="1620" w:type="dxa"/>
            <w:tcBorders>
              <w:top w:val="single" w:sz="4" w:space="0" w:color="auto"/>
            </w:tcBorders>
          </w:tcPr>
          <w:p w14:paraId="64ABE20D" w14:textId="77777777" w:rsidR="00BB78F0" w:rsidRPr="00E564C3" w:rsidRDefault="00BB78F0" w:rsidP="00D3284A">
            <w:pPr>
              <w:tabs>
                <w:tab w:val="left" w:pos="900"/>
              </w:tabs>
              <w:rPr>
                <w:rFonts w:eastAsiaTheme="minorHAnsi"/>
                <w:b w:val="0"/>
                <w:bCs/>
              </w:rPr>
            </w:pPr>
            <w:r>
              <w:rPr>
                <w:rFonts w:eastAsiaTheme="minorHAnsi"/>
                <w:bCs/>
              </w:rPr>
              <w:t>Diagnosis</w:t>
            </w:r>
          </w:p>
        </w:tc>
        <w:tc>
          <w:tcPr>
            <w:tcW w:w="2160" w:type="dxa"/>
            <w:tcBorders>
              <w:top w:val="single" w:sz="4" w:space="0" w:color="auto"/>
            </w:tcBorders>
          </w:tcPr>
          <w:p w14:paraId="310BF9BF" w14:textId="77777777" w:rsidR="00BB78F0" w:rsidRPr="00E564C3" w:rsidRDefault="00BB78F0" w:rsidP="00D3284A">
            <w:pPr>
              <w:tabs>
                <w:tab w:val="left" w:pos="900"/>
              </w:tabs>
              <w:rPr>
                <w:rFonts w:eastAsiaTheme="minorHAnsi"/>
                <w:b w:val="0"/>
                <w:bCs/>
              </w:rPr>
            </w:pPr>
            <w:r>
              <w:rPr>
                <w:rFonts w:eastAsiaTheme="minorHAnsi"/>
                <w:bCs/>
              </w:rPr>
              <w:t xml:space="preserve">Description of Intervention </w:t>
            </w:r>
          </w:p>
        </w:tc>
        <w:tc>
          <w:tcPr>
            <w:tcW w:w="2088" w:type="dxa"/>
            <w:tcBorders>
              <w:top w:val="single" w:sz="4" w:space="0" w:color="auto"/>
            </w:tcBorders>
          </w:tcPr>
          <w:p w14:paraId="3378D2E1" w14:textId="77777777" w:rsidR="00BB78F0" w:rsidRPr="00E564C3" w:rsidRDefault="00BB78F0" w:rsidP="00D3284A">
            <w:pPr>
              <w:tabs>
                <w:tab w:val="left" w:pos="900"/>
              </w:tabs>
              <w:rPr>
                <w:rFonts w:eastAsiaTheme="minorHAnsi"/>
                <w:b w:val="0"/>
                <w:bCs/>
              </w:rPr>
            </w:pPr>
            <w:r>
              <w:rPr>
                <w:rFonts w:eastAsiaTheme="minorHAnsi"/>
                <w:bCs/>
              </w:rPr>
              <w:t>Findings/ Results</w:t>
            </w:r>
          </w:p>
        </w:tc>
        <w:tc>
          <w:tcPr>
            <w:tcW w:w="1530" w:type="dxa"/>
            <w:tcBorders>
              <w:top w:val="single" w:sz="4" w:space="0" w:color="auto"/>
            </w:tcBorders>
          </w:tcPr>
          <w:p w14:paraId="3D3EC7F2" w14:textId="77777777" w:rsidR="00BB78F0" w:rsidRDefault="00BB78F0" w:rsidP="00D3284A">
            <w:pPr>
              <w:tabs>
                <w:tab w:val="left" w:pos="900"/>
              </w:tabs>
              <w:rPr>
                <w:rFonts w:eastAsiaTheme="minorHAnsi"/>
                <w:b w:val="0"/>
                <w:bCs/>
              </w:rPr>
            </w:pPr>
            <w:r>
              <w:rPr>
                <w:rFonts w:eastAsiaTheme="minorHAnsi"/>
                <w:bCs/>
              </w:rPr>
              <w:t>Age</w:t>
            </w:r>
          </w:p>
        </w:tc>
        <w:tc>
          <w:tcPr>
            <w:tcW w:w="1530" w:type="dxa"/>
            <w:tcBorders>
              <w:top w:val="single" w:sz="4" w:space="0" w:color="auto"/>
            </w:tcBorders>
          </w:tcPr>
          <w:p w14:paraId="2C897053" w14:textId="77777777" w:rsidR="00BB78F0" w:rsidRPr="00E564C3" w:rsidRDefault="00BB78F0" w:rsidP="00D3284A">
            <w:pPr>
              <w:tabs>
                <w:tab w:val="left" w:pos="900"/>
              </w:tabs>
              <w:rPr>
                <w:rFonts w:eastAsiaTheme="minorHAnsi"/>
                <w:b w:val="0"/>
                <w:bCs/>
              </w:rPr>
            </w:pPr>
            <w:r>
              <w:rPr>
                <w:rFonts w:eastAsiaTheme="minorHAnsi"/>
                <w:bCs/>
              </w:rPr>
              <w:t xml:space="preserve">OTPF-4 Correlation </w:t>
            </w:r>
          </w:p>
        </w:tc>
      </w:tr>
      <w:tr w:rsidR="00BB78F0" w:rsidRPr="00E564C3" w14:paraId="13763DC5" w14:textId="77777777" w:rsidTr="00D3284A">
        <w:tc>
          <w:tcPr>
            <w:tcW w:w="2340" w:type="dxa"/>
          </w:tcPr>
          <w:p w14:paraId="2ED5105E" w14:textId="77777777" w:rsidR="00BB78F0" w:rsidRPr="00E564C3" w:rsidRDefault="00BB78F0" w:rsidP="00D3284A">
            <w:pPr>
              <w:tabs>
                <w:tab w:val="left" w:pos="900"/>
              </w:tabs>
              <w:rPr>
                <w:rFonts w:eastAsiaTheme="minorHAnsi"/>
              </w:rPr>
            </w:pPr>
            <w:r>
              <w:rPr>
                <w:rFonts w:eastAsiaTheme="minorHAnsi"/>
              </w:rPr>
              <w:t xml:space="preserve">Anaby et al., 2017. </w:t>
            </w:r>
          </w:p>
        </w:tc>
        <w:tc>
          <w:tcPr>
            <w:tcW w:w="2160" w:type="dxa"/>
          </w:tcPr>
          <w:p w14:paraId="3EE1B3D9" w14:textId="77777777" w:rsidR="00BB78F0" w:rsidRPr="00E564C3" w:rsidRDefault="00BB78F0" w:rsidP="00D3284A">
            <w:pPr>
              <w:tabs>
                <w:tab w:val="left" w:pos="900"/>
              </w:tabs>
              <w:rPr>
                <w:rFonts w:eastAsiaTheme="minorHAnsi"/>
              </w:rPr>
            </w:pPr>
            <w:r>
              <w:rPr>
                <w:rFonts w:eastAsiaTheme="minorHAnsi"/>
              </w:rPr>
              <w:t xml:space="preserve">The purpose was to obtain the perception of patents on experiences in the PREP approach as well as explore the opinions.  </w:t>
            </w:r>
          </w:p>
        </w:tc>
        <w:tc>
          <w:tcPr>
            <w:tcW w:w="1710" w:type="dxa"/>
          </w:tcPr>
          <w:p w14:paraId="73BD7388" w14:textId="77777777" w:rsidR="00BB78F0" w:rsidRPr="00E564C3" w:rsidRDefault="00BB78F0" w:rsidP="00D3284A">
            <w:pPr>
              <w:tabs>
                <w:tab w:val="left" w:pos="900"/>
              </w:tabs>
              <w:rPr>
                <w:rFonts w:eastAsiaTheme="minorHAnsi"/>
              </w:rPr>
            </w:pPr>
            <w:r>
              <w:rPr>
                <w:rFonts w:eastAsiaTheme="minorHAnsi"/>
              </w:rPr>
              <w:t xml:space="preserve">Post-intervention qualitative study </w:t>
            </w:r>
          </w:p>
        </w:tc>
        <w:tc>
          <w:tcPr>
            <w:tcW w:w="1620" w:type="dxa"/>
          </w:tcPr>
          <w:p w14:paraId="4606113B" w14:textId="77777777" w:rsidR="00BB78F0" w:rsidRPr="00E564C3" w:rsidRDefault="00BB78F0" w:rsidP="00D3284A">
            <w:pPr>
              <w:tabs>
                <w:tab w:val="left" w:pos="900"/>
              </w:tabs>
              <w:rPr>
                <w:rFonts w:eastAsiaTheme="minorHAnsi"/>
              </w:rPr>
            </w:pPr>
            <w:r>
              <w:rPr>
                <w:rFonts w:eastAsiaTheme="minorHAnsi"/>
              </w:rPr>
              <w:t xml:space="preserve">Orthopedic/motor, developmental/intellectual delays, and visual impairments. </w:t>
            </w:r>
          </w:p>
        </w:tc>
        <w:tc>
          <w:tcPr>
            <w:tcW w:w="2160" w:type="dxa"/>
          </w:tcPr>
          <w:p w14:paraId="71CFE2C4" w14:textId="2158B734" w:rsidR="00BB78F0" w:rsidRPr="00335F81" w:rsidRDefault="00BB78F0" w:rsidP="00D3284A">
            <w:pPr>
              <w:tabs>
                <w:tab w:val="left" w:pos="900"/>
              </w:tabs>
              <w:rPr>
                <w:rFonts w:eastAsiaTheme="minorHAnsi"/>
              </w:rPr>
            </w:pPr>
            <w:r>
              <w:rPr>
                <w:rFonts w:eastAsiaTheme="minorHAnsi"/>
              </w:rPr>
              <w:t xml:space="preserve">Pathway and resources for engagement and participation (PREP) intervention </w:t>
            </w:r>
            <w:r w:rsidR="00C06F90">
              <w:rPr>
                <w:rFonts w:eastAsiaTheme="minorHAnsi"/>
              </w:rPr>
              <w:t>targeted</w:t>
            </w:r>
            <w:r>
              <w:rPr>
                <w:rFonts w:eastAsiaTheme="minorHAnsi"/>
              </w:rPr>
              <w:t xml:space="preserve"> modifying the environment and the use of coaching aid</w:t>
            </w:r>
            <w:r w:rsidR="00C06F90">
              <w:rPr>
                <w:rFonts w:eastAsiaTheme="minorHAnsi"/>
              </w:rPr>
              <w:t>s</w:t>
            </w:r>
            <w:r>
              <w:rPr>
                <w:rFonts w:eastAsiaTheme="minorHAnsi"/>
              </w:rPr>
              <w:t xml:space="preserve"> in a child to participate in community activities. </w:t>
            </w:r>
          </w:p>
        </w:tc>
        <w:tc>
          <w:tcPr>
            <w:tcW w:w="2088" w:type="dxa"/>
          </w:tcPr>
          <w:p w14:paraId="4F3B6D57" w14:textId="77777777" w:rsidR="00BB78F0" w:rsidRPr="00321C51" w:rsidRDefault="00BB78F0" w:rsidP="00D3284A">
            <w:pPr>
              <w:tabs>
                <w:tab w:val="left" w:pos="900"/>
              </w:tabs>
              <w:contextualSpacing/>
              <w:rPr>
                <w:rFonts w:eastAsiaTheme="minorHAnsi"/>
              </w:rPr>
            </w:pPr>
            <w:r>
              <w:rPr>
                <w:rFonts w:eastAsiaTheme="minorHAnsi"/>
              </w:rPr>
              <w:t xml:space="preserve">Parents emphasized the effect the PREP intervention has. </w:t>
            </w:r>
          </w:p>
        </w:tc>
        <w:tc>
          <w:tcPr>
            <w:tcW w:w="1530" w:type="dxa"/>
          </w:tcPr>
          <w:p w14:paraId="35DE916D" w14:textId="77777777" w:rsidR="00BB78F0" w:rsidRPr="00282A77" w:rsidRDefault="00BB78F0" w:rsidP="00D3284A">
            <w:pPr>
              <w:jc w:val="center"/>
              <w:rPr>
                <w:rFonts w:eastAsiaTheme="minorHAnsi"/>
              </w:rPr>
            </w:pPr>
            <w:r>
              <w:rPr>
                <w:rFonts w:eastAsiaTheme="minorHAnsi"/>
              </w:rPr>
              <w:t>12-18 years old.</w:t>
            </w:r>
          </w:p>
        </w:tc>
        <w:tc>
          <w:tcPr>
            <w:tcW w:w="1530" w:type="dxa"/>
          </w:tcPr>
          <w:p w14:paraId="367DCEE0" w14:textId="77777777" w:rsidR="00BB78F0" w:rsidRPr="00E564C3" w:rsidRDefault="00BB78F0" w:rsidP="00D3284A">
            <w:pPr>
              <w:tabs>
                <w:tab w:val="left" w:pos="900"/>
              </w:tabs>
              <w:rPr>
                <w:rFonts w:eastAsiaTheme="minorHAnsi"/>
              </w:rPr>
            </w:pPr>
            <w:r>
              <w:rPr>
                <w:rFonts w:eastAsiaTheme="minorHAnsi"/>
              </w:rPr>
              <w:t xml:space="preserve">Social participation- community participation  </w:t>
            </w:r>
          </w:p>
        </w:tc>
      </w:tr>
      <w:tr w:rsidR="00BB78F0" w:rsidRPr="00E564C3" w14:paraId="6D258EF5" w14:textId="77777777" w:rsidTr="00D3284A">
        <w:tc>
          <w:tcPr>
            <w:tcW w:w="2340" w:type="dxa"/>
          </w:tcPr>
          <w:p w14:paraId="3A2C729A" w14:textId="77777777" w:rsidR="00BB78F0" w:rsidRDefault="00BB78F0" w:rsidP="00D3284A">
            <w:pPr>
              <w:tabs>
                <w:tab w:val="left" w:pos="900"/>
              </w:tabs>
              <w:rPr>
                <w:rFonts w:eastAsiaTheme="minorHAnsi"/>
              </w:rPr>
            </w:pPr>
            <w:r>
              <w:rPr>
                <w:rFonts w:eastAsiaTheme="minorHAnsi"/>
              </w:rPr>
              <w:t xml:space="preserve">DuBois et al., 2020. </w:t>
            </w:r>
          </w:p>
        </w:tc>
        <w:tc>
          <w:tcPr>
            <w:tcW w:w="2160" w:type="dxa"/>
          </w:tcPr>
          <w:p w14:paraId="56355516" w14:textId="77777777" w:rsidR="00BB78F0" w:rsidRDefault="00BB78F0" w:rsidP="00D3284A">
            <w:pPr>
              <w:tabs>
                <w:tab w:val="left" w:pos="900"/>
              </w:tabs>
              <w:rPr>
                <w:rFonts w:eastAsiaTheme="minorHAnsi"/>
              </w:rPr>
            </w:pPr>
            <w:r>
              <w:rPr>
                <w:rFonts w:eastAsiaTheme="minorHAnsi"/>
              </w:rPr>
              <w:t xml:space="preserve">The purpose of this study is to look at the impact the families of youth with intellectual and developmental disabilities have on their engagement in the community. </w:t>
            </w:r>
          </w:p>
        </w:tc>
        <w:tc>
          <w:tcPr>
            <w:tcW w:w="1710" w:type="dxa"/>
          </w:tcPr>
          <w:p w14:paraId="570E1059" w14:textId="77777777" w:rsidR="00BB78F0" w:rsidRDefault="00BB78F0" w:rsidP="00D3284A">
            <w:pPr>
              <w:tabs>
                <w:tab w:val="left" w:pos="900"/>
              </w:tabs>
              <w:rPr>
                <w:rFonts w:eastAsiaTheme="minorHAnsi"/>
              </w:rPr>
            </w:pPr>
            <w:r>
              <w:rPr>
                <w:rFonts w:eastAsiaTheme="minorHAnsi"/>
              </w:rPr>
              <w:t xml:space="preserve">Secondary data analysis </w:t>
            </w:r>
          </w:p>
        </w:tc>
        <w:tc>
          <w:tcPr>
            <w:tcW w:w="1620" w:type="dxa"/>
          </w:tcPr>
          <w:p w14:paraId="5195FAA0" w14:textId="77777777" w:rsidR="00BB78F0" w:rsidRDefault="00BB78F0" w:rsidP="00D3284A">
            <w:pPr>
              <w:tabs>
                <w:tab w:val="left" w:pos="900"/>
              </w:tabs>
              <w:rPr>
                <w:rFonts w:eastAsiaTheme="minorHAnsi"/>
              </w:rPr>
            </w:pPr>
            <w:r>
              <w:rPr>
                <w:rFonts w:eastAsiaTheme="minorHAnsi"/>
              </w:rPr>
              <w:t xml:space="preserve">ASD, Down Syndrome, Prader-Willi Syndrome, Fetal alcohol syndrome disorder, developmental or intellectual disability, cerebral palsy </w:t>
            </w:r>
          </w:p>
        </w:tc>
        <w:tc>
          <w:tcPr>
            <w:tcW w:w="2160" w:type="dxa"/>
          </w:tcPr>
          <w:p w14:paraId="01BCB33B" w14:textId="77777777" w:rsidR="00BB78F0" w:rsidRDefault="00BB78F0" w:rsidP="00D3284A">
            <w:pPr>
              <w:tabs>
                <w:tab w:val="left" w:pos="900"/>
              </w:tabs>
              <w:rPr>
                <w:rFonts w:eastAsiaTheme="minorHAnsi"/>
              </w:rPr>
            </w:pPr>
            <w:r>
              <w:rPr>
                <w:rFonts w:eastAsiaTheme="minorHAnsi"/>
              </w:rPr>
              <w:t xml:space="preserve">Interviews were conducted with the parents to see how their child is engaging in the environment. </w:t>
            </w:r>
          </w:p>
        </w:tc>
        <w:tc>
          <w:tcPr>
            <w:tcW w:w="2088" w:type="dxa"/>
          </w:tcPr>
          <w:p w14:paraId="3F348F83" w14:textId="51CA3FFE" w:rsidR="00BB78F0" w:rsidRDefault="00BB78F0" w:rsidP="00D3284A">
            <w:pPr>
              <w:tabs>
                <w:tab w:val="left" w:pos="900"/>
              </w:tabs>
              <w:contextualSpacing/>
              <w:rPr>
                <w:rFonts w:eastAsiaTheme="minorHAnsi"/>
              </w:rPr>
            </w:pPr>
            <w:r>
              <w:rPr>
                <w:rFonts w:eastAsiaTheme="minorHAnsi"/>
              </w:rPr>
              <w:t xml:space="preserve">Three themes developed including </w:t>
            </w:r>
            <w:r w:rsidR="00C06F90">
              <w:rPr>
                <w:rFonts w:eastAsiaTheme="minorHAnsi"/>
              </w:rPr>
              <w:t>a complex</w:t>
            </w:r>
            <w:r>
              <w:rPr>
                <w:rFonts w:eastAsiaTheme="minorHAnsi"/>
              </w:rPr>
              <w:t xml:space="preserve"> of supports and influences, community engagement with the help of family, and points of tension. </w:t>
            </w:r>
          </w:p>
        </w:tc>
        <w:tc>
          <w:tcPr>
            <w:tcW w:w="1530" w:type="dxa"/>
          </w:tcPr>
          <w:p w14:paraId="5E726D75" w14:textId="77777777" w:rsidR="00BB78F0" w:rsidRDefault="00BB78F0" w:rsidP="00D3284A">
            <w:pPr>
              <w:jc w:val="center"/>
              <w:rPr>
                <w:rFonts w:eastAsiaTheme="minorHAnsi"/>
              </w:rPr>
            </w:pPr>
            <w:r>
              <w:rPr>
                <w:rFonts w:eastAsiaTheme="minorHAnsi"/>
              </w:rPr>
              <w:t xml:space="preserve">13-24 years old. </w:t>
            </w:r>
          </w:p>
        </w:tc>
        <w:tc>
          <w:tcPr>
            <w:tcW w:w="1530" w:type="dxa"/>
          </w:tcPr>
          <w:p w14:paraId="66DDFC51" w14:textId="77777777" w:rsidR="00BB78F0" w:rsidRDefault="00BB78F0" w:rsidP="00D3284A">
            <w:pPr>
              <w:tabs>
                <w:tab w:val="left" w:pos="900"/>
              </w:tabs>
              <w:rPr>
                <w:rFonts w:eastAsiaTheme="minorHAnsi"/>
              </w:rPr>
            </w:pPr>
            <w:r>
              <w:rPr>
                <w:rFonts w:eastAsiaTheme="minorHAnsi"/>
              </w:rPr>
              <w:t>Community mobility</w:t>
            </w:r>
          </w:p>
        </w:tc>
      </w:tr>
      <w:tr w:rsidR="00BB78F0" w:rsidRPr="00E564C3" w14:paraId="0F392F93" w14:textId="77777777" w:rsidTr="00D3284A">
        <w:tc>
          <w:tcPr>
            <w:tcW w:w="2340" w:type="dxa"/>
          </w:tcPr>
          <w:p w14:paraId="54EA3D8C" w14:textId="77777777" w:rsidR="00BB78F0" w:rsidRPr="00E564C3" w:rsidRDefault="00BB78F0" w:rsidP="00D3284A">
            <w:pPr>
              <w:tabs>
                <w:tab w:val="left" w:pos="900"/>
              </w:tabs>
              <w:rPr>
                <w:rFonts w:eastAsiaTheme="minorHAnsi"/>
              </w:rPr>
            </w:pPr>
            <w:r>
              <w:rPr>
                <w:rFonts w:eastAsiaTheme="minorHAnsi"/>
              </w:rPr>
              <w:t xml:space="preserve">Dunn and Gardner, 2013. </w:t>
            </w:r>
          </w:p>
        </w:tc>
        <w:tc>
          <w:tcPr>
            <w:tcW w:w="2160" w:type="dxa"/>
          </w:tcPr>
          <w:p w14:paraId="3947F71B" w14:textId="77777777" w:rsidR="00BB78F0" w:rsidRPr="00E564C3" w:rsidRDefault="00BB78F0" w:rsidP="00D3284A">
            <w:pPr>
              <w:tabs>
                <w:tab w:val="left" w:pos="900"/>
              </w:tabs>
              <w:rPr>
                <w:rFonts w:eastAsiaTheme="minorHAnsi"/>
              </w:rPr>
            </w:pPr>
            <w:r>
              <w:rPr>
                <w:rFonts w:eastAsiaTheme="minorHAnsi"/>
              </w:rPr>
              <w:t xml:space="preserve">This study was done to explore the effects age plays on roles and expectations in household tasks with disabilities. </w:t>
            </w:r>
          </w:p>
        </w:tc>
        <w:tc>
          <w:tcPr>
            <w:tcW w:w="1710" w:type="dxa"/>
          </w:tcPr>
          <w:p w14:paraId="18DF9915" w14:textId="77777777" w:rsidR="00BB78F0" w:rsidRPr="001B358D" w:rsidRDefault="00BB78F0" w:rsidP="00D3284A">
            <w:pPr>
              <w:tabs>
                <w:tab w:val="left" w:pos="900"/>
              </w:tabs>
              <w:rPr>
                <w:rFonts w:eastAsiaTheme="minorHAnsi"/>
              </w:rPr>
            </w:pPr>
            <w:r>
              <w:rPr>
                <w:rFonts w:eastAsiaTheme="minorHAnsi"/>
              </w:rPr>
              <w:t xml:space="preserve">Cohort study, institutional review. </w:t>
            </w:r>
          </w:p>
        </w:tc>
        <w:tc>
          <w:tcPr>
            <w:tcW w:w="1620" w:type="dxa"/>
          </w:tcPr>
          <w:p w14:paraId="55007F0A" w14:textId="77777777" w:rsidR="00BB78F0" w:rsidRPr="00E564C3" w:rsidRDefault="00BB78F0" w:rsidP="00D3284A">
            <w:pPr>
              <w:tabs>
                <w:tab w:val="left" w:pos="900"/>
              </w:tabs>
              <w:rPr>
                <w:rFonts w:eastAsiaTheme="minorHAnsi"/>
              </w:rPr>
            </w:pPr>
            <w:r>
              <w:rPr>
                <w:rFonts w:eastAsiaTheme="minorHAnsi"/>
              </w:rPr>
              <w:t xml:space="preserve">Physical disabilities, intellectual disabilities, cerebral palsy, spina bifida, muscular dystrophy, osteogenesis imperfecta, and lower extremity amputation. </w:t>
            </w:r>
          </w:p>
        </w:tc>
        <w:tc>
          <w:tcPr>
            <w:tcW w:w="2160" w:type="dxa"/>
          </w:tcPr>
          <w:p w14:paraId="0F167642" w14:textId="77777777" w:rsidR="00BB78F0" w:rsidRPr="00E564C3" w:rsidRDefault="00BB78F0" w:rsidP="00D3284A">
            <w:pPr>
              <w:tabs>
                <w:tab w:val="left" w:pos="900"/>
              </w:tabs>
              <w:contextualSpacing/>
              <w:rPr>
                <w:rFonts w:eastAsiaTheme="minorHAnsi"/>
              </w:rPr>
            </w:pPr>
            <w:r>
              <w:rPr>
                <w:rFonts w:eastAsiaTheme="minorHAnsi"/>
              </w:rPr>
              <w:t xml:space="preserve">Utilized the Children Helping Out: Responsibilities, Expectations, and Supports (CHORES) to assess the individual’s participation in household tasks. </w:t>
            </w:r>
          </w:p>
        </w:tc>
        <w:tc>
          <w:tcPr>
            <w:tcW w:w="2088" w:type="dxa"/>
          </w:tcPr>
          <w:p w14:paraId="6BC36A5C" w14:textId="77777777" w:rsidR="00BB78F0" w:rsidRPr="00F9564B" w:rsidRDefault="00BB78F0" w:rsidP="00D3284A">
            <w:pPr>
              <w:tabs>
                <w:tab w:val="left" w:pos="900"/>
              </w:tabs>
              <w:contextualSpacing/>
              <w:rPr>
                <w:rFonts w:eastAsiaTheme="minorHAnsi"/>
              </w:rPr>
            </w:pPr>
            <w:r>
              <w:rPr>
                <w:rFonts w:eastAsiaTheme="minorHAnsi"/>
              </w:rPr>
              <w:t xml:space="preserve">Parents reported the results on how their child performed household tasks and it was reported that 22 of the 34 tasks were done and parents of typically developed children reported that 25 of 34 tasks were done. The older individuals with disabilities performed 25 tasks on average. </w:t>
            </w:r>
          </w:p>
        </w:tc>
        <w:tc>
          <w:tcPr>
            <w:tcW w:w="1530" w:type="dxa"/>
          </w:tcPr>
          <w:p w14:paraId="42D447F4" w14:textId="77777777" w:rsidR="00BB78F0" w:rsidRPr="00E564C3" w:rsidRDefault="00BB78F0" w:rsidP="00D3284A">
            <w:pPr>
              <w:tabs>
                <w:tab w:val="left" w:pos="900"/>
              </w:tabs>
              <w:rPr>
                <w:rFonts w:eastAsiaTheme="minorHAnsi"/>
              </w:rPr>
            </w:pPr>
            <w:r>
              <w:rPr>
                <w:rFonts w:eastAsiaTheme="minorHAnsi"/>
              </w:rPr>
              <w:t xml:space="preserve">6-14 years old. </w:t>
            </w:r>
          </w:p>
        </w:tc>
        <w:tc>
          <w:tcPr>
            <w:tcW w:w="1530" w:type="dxa"/>
          </w:tcPr>
          <w:p w14:paraId="64D93148" w14:textId="77777777" w:rsidR="00BB78F0" w:rsidRDefault="00BB78F0" w:rsidP="00D3284A">
            <w:pPr>
              <w:tabs>
                <w:tab w:val="left" w:pos="900"/>
              </w:tabs>
              <w:rPr>
                <w:rFonts w:eastAsiaTheme="minorHAnsi"/>
              </w:rPr>
            </w:pPr>
            <w:r>
              <w:rPr>
                <w:rFonts w:eastAsiaTheme="minorHAnsi"/>
              </w:rPr>
              <w:t xml:space="preserve">Home management – house chores. </w:t>
            </w:r>
          </w:p>
          <w:p w14:paraId="7B448898" w14:textId="77777777" w:rsidR="00BB78F0" w:rsidRPr="00E564C3" w:rsidRDefault="00BB78F0" w:rsidP="00D3284A">
            <w:pPr>
              <w:tabs>
                <w:tab w:val="left" w:pos="900"/>
              </w:tabs>
              <w:rPr>
                <w:rFonts w:eastAsiaTheme="minorHAnsi"/>
              </w:rPr>
            </w:pPr>
          </w:p>
        </w:tc>
      </w:tr>
      <w:tr w:rsidR="00BB78F0" w:rsidRPr="00E564C3" w14:paraId="47C18493" w14:textId="77777777" w:rsidTr="00D3284A">
        <w:tc>
          <w:tcPr>
            <w:tcW w:w="2340" w:type="dxa"/>
          </w:tcPr>
          <w:p w14:paraId="1FE2D3BA" w14:textId="77777777" w:rsidR="00BB78F0" w:rsidRPr="00E564C3" w:rsidRDefault="00BB78F0" w:rsidP="00D3284A">
            <w:pPr>
              <w:tabs>
                <w:tab w:val="left" w:pos="900"/>
              </w:tabs>
              <w:rPr>
                <w:rFonts w:eastAsiaTheme="minorHAnsi"/>
              </w:rPr>
            </w:pPr>
            <w:r>
              <w:rPr>
                <w:rFonts w:eastAsiaTheme="minorHAnsi"/>
              </w:rPr>
              <w:lastRenderedPageBreak/>
              <w:t xml:space="preserve">Harr et al., 2011. </w:t>
            </w:r>
          </w:p>
        </w:tc>
        <w:tc>
          <w:tcPr>
            <w:tcW w:w="2160" w:type="dxa"/>
          </w:tcPr>
          <w:p w14:paraId="5BE13852" w14:textId="77777777" w:rsidR="00BB78F0" w:rsidRPr="00E564C3" w:rsidRDefault="00BB78F0" w:rsidP="00D3284A">
            <w:pPr>
              <w:tabs>
                <w:tab w:val="left" w:pos="900"/>
              </w:tabs>
              <w:rPr>
                <w:rFonts w:eastAsiaTheme="minorHAnsi"/>
              </w:rPr>
            </w:pPr>
            <w:r>
              <w:rPr>
                <w:rFonts w:eastAsiaTheme="minorHAnsi"/>
              </w:rPr>
              <w:t xml:space="preserve">The purpose was to explore engagement in household tasks, community, and work in individuals with disabilities. </w:t>
            </w:r>
          </w:p>
        </w:tc>
        <w:tc>
          <w:tcPr>
            <w:tcW w:w="1710" w:type="dxa"/>
          </w:tcPr>
          <w:p w14:paraId="6A3A9301" w14:textId="77777777" w:rsidR="00BB78F0" w:rsidRDefault="00BB78F0" w:rsidP="00D3284A">
            <w:pPr>
              <w:tabs>
                <w:tab w:val="left" w:pos="900"/>
              </w:tabs>
              <w:rPr>
                <w:rFonts w:eastAsiaTheme="minorHAnsi"/>
              </w:rPr>
            </w:pPr>
            <w:r>
              <w:rPr>
                <w:rFonts w:eastAsiaTheme="minorHAnsi"/>
              </w:rPr>
              <w:t xml:space="preserve">Case study, mixed methods. </w:t>
            </w:r>
          </w:p>
          <w:p w14:paraId="642678CF" w14:textId="77777777" w:rsidR="00BB78F0" w:rsidRDefault="00BB78F0" w:rsidP="00D3284A">
            <w:pPr>
              <w:tabs>
                <w:tab w:val="left" w:pos="900"/>
              </w:tabs>
              <w:rPr>
                <w:rFonts w:eastAsiaTheme="minorHAnsi"/>
              </w:rPr>
            </w:pPr>
            <w:r>
              <w:rPr>
                <w:rFonts w:eastAsiaTheme="minorHAnsi"/>
              </w:rPr>
              <w:t xml:space="preserve">Qualitative: interviews and observations. </w:t>
            </w:r>
          </w:p>
          <w:p w14:paraId="32F5892C" w14:textId="77777777" w:rsidR="00BB78F0" w:rsidRDefault="00BB78F0" w:rsidP="00D3284A">
            <w:pPr>
              <w:tabs>
                <w:tab w:val="left" w:pos="900"/>
              </w:tabs>
              <w:rPr>
                <w:rFonts w:eastAsiaTheme="minorHAnsi"/>
              </w:rPr>
            </w:pPr>
            <w:r>
              <w:rPr>
                <w:rFonts w:eastAsiaTheme="minorHAnsi"/>
              </w:rPr>
              <w:t>Quantitative: standardized assessments</w:t>
            </w:r>
          </w:p>
          <w:p w14:paraId="109C2D03" w14:textId="77777777" w:rsidR="00BB78F0" w:rsidRDefault="00BB78F0" w:rsidP="00D3284A">
            <w:pPr>
              <w:tabs>
                <w:tab w:val="left" w:pos="900"/>
              </w:tabs>
              <w:rPr>
                <w:rFonts w:eastAsiaTheme="minorHAnsi"/>
              </w:rPr>
            </w:pPr>
            <w:r>
              <w:rPr>
                <w:rFonts w:eastAsiaTheme="minorHAnsi"/>
              </w:rPr>
              <w:t>Pre-test/post-test</w:t>
            </w:r>
          </w:p>
          <w:p w14:paraId="52777F44" w14:textId="77777777" w:rsidR="00BB78F0" w:rsidRPr="00E564C3" w:rsidRDefault="00BB78F0" w:rsidP="00D3284A">
            <w:pPr>
              <w:tabs>
                <w:tab w:val="left" w:pos="900"/>
              </w:tabs>
              <w:rPr>
                <w:rFonts w:eastAsiaTheme="minorHAnsi"/>
              </w:rPr>
            </w:pPr>
            <w:r>
              <w:rPr>
                <w:rFonts w:eastAsiaTheme="minorHAnsi"/>
              </w:rPr>
              <w:t xml:space="preserve">Follow up </w:t>
            </w:r>
          </w:p>
        </w:tc>
        <w:tc>
          <w:tcPr>
            <w:tcW w:w="1620" w:type="dxa"/>
          </w:tcPr>
          <w:p w14:paraId="4D5A2FDD" w14:textId="77777777" w:rsidR="00BB78F0" w:rsidRPr="00E564C3" w:rsidRDefault="00BB78F0" w:rsidP="00D3284A">
            <w:pPr>
              <w:tabs>
                <w:tab w:val="left" w:pos="900"/>
              </w:tabs>
              <w:rPr>
                <w:rFonts w:eastAsiaTheme="minorHAnsi"/>
              </w:rPr>
            </w:pPr>
            <w:r>
              <w:rPr>
                <w:rFonts w:eastAsiaTheme="minorHAnsi"/>
              </w:rPr>
              <w:t xml:space="preserve">Spina bifida, cognitive impairments, physical disabilities, paraplegic. </w:t>
            </w:r>
          </w:p>
        </w:tc>
        <w:tc>
          <w:tcPr>
            <w:tcW w:w="2160" w:type="dxa"/>
          </w:tcPr>
          <w:p w14:paraId="17EB1B29" w14:textId="170FD5F9" w:rsidR="00BB78F0" w:rsidRDefault="00BB78F0" w:rsidP="00D3284A">
            <w:pPr>
              <w:tabs>
                <w:tab w:val="left" w:pos="900"/>
              </w:tabs>
              <w:contextualSpacing/>
              <w:rPr>
                <w:rFonts w:eastAsiaTheme="minorHAnsi"/>
              </w:rPr>
            </w:pPr>
            <w:r>
              <w:rPr>
                <w:rFonts w:eastAsiaTheme="minorHAnsi"/>
              </w:rPr>
              <w:t>Arc’s Self-Determination scale – adolescent version (SDS) a self-report 72 item assessment that looks at the clients’ strengths and weakness</w:t>
            </w:r>
            <w:r w:rsidR="00C06F90">
              <w:rPr>
                <w:rFonts w:eastAsiaTheme="minorHAnsi"/>
              </w:rPr>
              <w:t xml:space="preserve">es. </w:t>
            </w:r>
          </w:p>
          <w:p w14:paraId="317DC09F" w14:textId="77777777" w:rsidR="00BB78F0" w:rsidRDefault="00BB78F0" w:rsidP="00D3284A">
            <w:pPr>
              <w:tabs>
                <w:tab w:val="left" w:pos="900"/>
              </w:tabs>
              <w:contextualSpacing/>
              <w:rPr>
                <w:rFonts w:eastAsiaTheme="minorHAnsi"/>
              </w:rPr>
            </w:pPr>
            <w:r>
              <w:rPr>
                <w:rFonts w:eastAsiaTheme="minorHAnsi"/>
              </w:rPr>
              <w:t xml:space="preserve">CHORES – a 34 item report where the parent reports on the tasks completed by their child. It looks at how much help was needed completing chores. </w:t>
            </w:r>
          </w:p>
          <w:p w14:paraId="40536D9A" w14:textId="77777777" w:rsidR="00BB78F0" w:rsidRDefault="00BB78F0" w:rsidP="00D3284A">
            <w:pPr>
              <w:tabs>
                <w:tab w:val="left" w:pos="900"/>
              </w:tabs>
              <w:contextualSpacing/>
              <w:rPr>
                <w:rFonts w:eastAsiaTheme="minorHAnsi"/>
              </w:rPr>
            </w:pPr>
            <w:r>
              <w:rPr>
                <w:rFonts w:eastAsiaTheme="minorHAnsi"/>
              </w:rPr>
              <w:t xml:space="preserve">COPM- measures self-perception on their occupational performance. </w:t>
            </w:r>
          </w:p>
          <w:p w14:paraId="5BA07E9E" w14:textId="77777777" w:rsidR="00BB78F0" w:rsidRPr="000D4C5B" w:rsidRDefault="00BB78F0" w:rsidP="00D3284A">
            <w:pPr>
              <w:rPr>
                <w:rFonts w:eastAsiaTheme="minorHAnsi"/>
              </w:rPr>
            </w:pPr>
          </w:p>
        </w:tc>
        <w:tc>
          <w:tcPr>
            <w:tcW w:w="2088" w:type="dxa"/>
          </w:tcPr>
          <w:p w14:paraId="37264CCA" w14:textId="77777777" w:rsidR="00BB78F0" w:rsidRPr="00E564C3" w:rsidRDefault="00BB78F0" w:rsidP="00D3284A">
            <w:pPr>
              <w:tabs>
                <w:tab w:val="left" w:pos="900"/>
              </w:tabs>
              <w:contextualSpacing/>
              <w:rPr>
                <w:rFonts w:eastAsiaTheme="minorHAnsi"/>
              </w:rPr>
            </w:pPr>
            <w:r>
              <w:rPr>
                <w:rFonts w:eastAsiaTheme="minorHAnsi"/>
              </w:rPr>
              <w:t xml:space="preserve">In CHORES the client increased performance in tasks from 17 at pre-test to 19 at post-test but at the follow-up 4 months later he declined to 16. The self-care category showed the most decline at the follow-up with the second being family-care tasks. The client was given more responsibility by his parents at the end of the study. </w:t>
            </w:r>
          </w:p>
        </w:tc>
        <w:tc>
          <w:tcPr>
            <w:tcW w:w="1530" w:type="dxa"/>
          </w:tcPr>
          <w:p w14:paraId="535CAF9B" w14:textId="77777777" w:rsidR="00BB78F0" w:rsidRPr="00E564C3" w:rsidRDefault="00BB78F0" w:rsidP="00D3284A">
            <w:pPr>
              <w:tabs>
                <w:tab w:val="left" w:pos="900"/>
              </w:tabs>
              <w:rPr>
                <w:rFonts w:eastAsiaTheme="minorHAnsi"/>
              </w:rPr>
            </w:pPr>
            <w:r>
              <w:rPr>
                <w:rFonts w:eastAsiaTheme="minorHAnsi"/>
              </w:rPr>
              <w:t>20-year-old.</w:t>
            </w:r>
          </w:p>
        </w:tc>
        <w:tc>
          <w:tcPr>
            <w:tcW w:w="1530" w:type="dxa"/>
          </w:tcPr>
          <w:p w14:paraId="25C9BF6D" w14:textId="63CB9893" w:rsidR="00BB78F0" w:rsidRPr="00E564C3" w:rsidRDefault="00BB78F0" w:rsidP="00D3284A">
            <w:pPr>
              <w:tabs>
                <w:tab w:val="left" w:pos="900"/>
              </w:tabs>
              <w:rPr>
                <w:rFonts w:eastAsiaTheme="minorHAnsi"/>
              </w:rPr>
            </w:pPr>
            <w:r>
              <w:rPr>
                <w:rFonts w:eastAsiaTheme="minorHAnsi"/>
              </w:rPr>
              <w:t xml:space="preserve">Grooming, meal preparation and clean-up, dressing, </w:t>
            </w:r>
            <w:r w:rsidR="00037DC5">
              <w:rPr>
                <w:rFonts w:eastAsiaTheme="minorHAnsi"/>
              </w:rPr>
              <w:t xml:space="preserve">home management, </w:t>
            </w:r>
            <w:r>
              <w:rPr>
                <w:rFonts w:eastAsiaTheme="minorHAnsi"/>
              </w:rPr>
              <w:t>financial management, safety awareness</w:t>
            </w:r>
          </w:p>
        </w:tc>
      </w:tr>
      <w:tr w:rsidR="00BB78F0" w:rsidRPr="00E564C3" w14:paraId="4B8E9169" w14:textId="77777777" w:rsidTr="00D3284A">
        <w:tc>
          <w:tcPr>
            <w:tcW w:w="2340" w:type="dxa"/>
          </w:tcPr>
          <w:p w14:paraId="6607DC48" w14:textId="77777777" w:rsidR="00BB78F0" w:rsidRPr="00E564C3" w:rsidRDefault="00BB78F0" w:rsidP="00D3284A">
            <w:pPr>
              <w:tabs>
                <w:tab w:val="left" w:pos="900"/>
              </w:tabs>
              <w:rPr>
                <w:rFonts w:eastAsiaTheme="minorHAnsi"/>
              </w:rPr>
            </w:pPr>
            <w:r>
              <w:rPr>
                <w:rFonts w:eastAsiaTheme="minorHAnsi"/>
              </w:rPr>
              <w:t xml:space="preserve">Josman et al., 2008. </w:t>
            </w:r>
          </w:p>
        </w:tc>
        <w:tc>
          <w:tcPr>
            <w:tcW w:w="2160" w:type="dxa"/>
          </w:tcPr>
          <w:p w14:paraId="569AB10A" w14:textId="77777777" w:rsidR="00BB78F0" w:rsidRPr="00E564C3" w:rsidRDefault="00BB78F0" w:rsidP="00D3284A">
            <w:pPr>
              <w:tabs>
                <w:tab w:val="left" w:pos="900"/>
              </w:tabs>
              <w:rPr>
                <w:rFonts w:eastAsiaTheme="minorHAnsi"/>
              </w:rPr>
            </w:pPr>
            <w:r>
              <w:rPr>
                <w:rFonts w:eastAsiaTheme="minorHAnsi"/>
              </w:rPr>
              <w:t xml:space="preserve">This study was done to examine the effectiveness of implementing a virtual environment via virtual reality that would correlate with real life in ASD individuals. </w:t>
            </w:r>
          </w:p>
        </w:tc>
        <w:tc>
          <w:tcPr>
            <w:tcW w:w="1710" w:type="dxa"/>
          </w:tcPr>
          <w:p w14:paraId="0786A248" w14:textId="77777777" w:rsidR="00BB78F0" w:rsidRPr="00E564C3" w:rsidRDefault="00BB78F0" w:rsidP="00D3284A">
            <w:pPr>
              <w:tabs>
                <w:tab w:val="left" w:pos="900"/>
              </w:tabs>
              <w:rPr>
                <w:rFonts w:eastAsiaTheme="minorHAnsi"/>
              </w:rPr>
            </w:pPr>
            <w:r>
              <w:rPr>
                <w:rFonts w:eastAsiaTheme="minorHAnsi"/>
              </w:rPr>
              <w:t xml:space="preserve">Pilot study, group comparison, single-subject design, pre/post comparisons. </w:t>
            </w:r>
          </w:p>
        </w:tc>
        <w:tc>
          <w:tcPr>
            <w:tcW w:w="1620" w:type="dxa"/>
          </w:tcPr>
          <w:p w14:paraId="530C48DF" w14:textId="77777777" w:rsidR="00BB78F0" w:rsidRPr="00E564C3" w:rsidRDefault="00BB78F0" w:rsidP="00D3284A">
            <w:pPr>
              <w:tabs>
                <w:tab w:val="left" w:pos="900"/>
              </w:tabs>
              <w:rPr>
                <w:rFonts w:eastAsiaTheme="minorHAnsi"/>
              </w:rPr>
            </w:pPr>
            <w:r>
              <w:rPr>
                <w:rFonts w:eastAsiaTheme="minorHAnsi"/>
              </w:rPr>
              <w:t xml:space="preserve">ASD with secondary diagnosis of learning disabilities.  </w:t>
            </w:r>
          </w:p>
        </w:tc>
        <w:tc>
          <w:tcPr>
            <w:tcW w:w="2160" w:type="dxa"/>
          </w:tcPr>
          <w:p w14:paraId="19546D01" w14:textId="77777777" w:rsidR="00BB78F0" w:rsidRPr="00E564C3" w:rsidRDefault="00BB78F0" w:rsidP="00D3284A">
            <w:pPr>
              <w:tabs>
                <w:tab w:val="left" w:pos="900"/>
              </w:tabs>
              <w:contextualSpacing/>
              <w:rPr>
                <w:rFonts w:eastAsiaTheme="minorHAnsi"/>
              </w:rPr>
            </w:pPr>
            <w:r>
              <w:rPr>
                <w:rFonts w:eastAsiaTheme="minorHAnsi"/>
              </w:rPr>
              <w:t xml:space="preserve">Used virtual reality to portray a virtual environment of crossing the street through a desktop software. The client decided when it was safe to cross the street and as they were able to successfully cross the street, they moved on to the next stage which included more difficulty. </w:t>
            </w:r>
          </w:p>
        </w:tc>
        <w:tc>
          <w:tcPr>
            <w:tcW w:w="2088" w:type="dxa"/>
          </w:tcPr>
          <w:p w14:paraId="56E6789C" w14:textId="77777777" w:rsidR="00BB78F0" w:rsidRPr="00E564C3" w:rsidRDefault="00BB78F0" w:rsidP="00D3284A">
            <w:pPr>
              <w:tabs>
                <w:tab w:val="left" w:pos="900"/>
              </w:tabs>
              <w:contextualSpacing/>
              <w:rPr>
                <w:rFonts w:eastAsiaTheme="minorHAnsi"/>
              </w:rPr>
            </w:pPr>
            <w:r>
              <w:rPr>
                <w:rFonts w:eastAsiaTheme="minorHAnsi"/>
              </w:rPr>
              <w:t>4/6 participants with ASD utilized virtual reality to learn how to safely cross the street</w:t>
            </w:r>
          </w:p>
        </w:tc>
        <w:tc>
          <w:tcPr>
            <w:tcW w:w="1530" w:type="dxa"/>
          </w:tcPr>
          <w:p w14:paraId="62ADC9D1" w14:textId="77777777" w:rsidR="00BB78F0" w:rsidRPr="00E564C3" w:rsidRDefault="00BB78F0" w:rsidP="00D3284A">
            <w:pPr>
              <w:tabs>
                <w:tab w:val="left" w:pos="900"/>
              </w:tabs>
              <w:rPr>
                <w:rFonts w:eastAsiaTheme="minorHAnsi"/>
              </w:rPr>
            </w:pPr>
            <w:r>
              <w:rPr>
                <w:rFonts w:eastAsiaTheme="minorHAnsi"/>
              </w:rPr>
              <w:t xml:space="preserve">8-16 years old. </w:t>
            </w:r>
          </w:p>
        </w:tc>
        <w:tc>
          <w:tcPr>
            <w:tcW w:w="1530" w:type="dxa"/>
          </w:tcPr>
          <w:p w14:paraId="40244C44" w14:textId="77777777" w:rsidR="00BB78F0" w:rsidRPr="00E564C3" w:rsidRDefault="00BB78F0" w:rsidP="00D3284A">
            <w:pPr>
              <w:tabs>
                <w:tab w:val="left" w:pos="900"/>
              </w:tabs>
              <w:rPr>
                <w:rFonts w:eastAsiaTheme="minorHAnsi"/>
              </w:rPr>
            </w:pPr>
            <w:r>
              <w:rPr>
                <w:rFonts w:eastAsiaTheme="minorHAnsi"/>
              </w:rPr>
              <w:t xml:space="preserve">Community mobility </w:t>
            </w:r>
          </w:p>
        </w:tc>
      </w:tr>
      <w:tr w:rsidR="00BB78F0" w:rsidRPr="00E564C3" w14:paraId="495FDF4C" w14:textId="77777777" w:rsidTr="00D3284A">
        <w:tc>
          <w:tcPr>
            <w:tcW w:w="2340" w:type="dxa"/>
          </w:tcPr>
          <w:p w14:paraId="376D58A4" w14:textId="77777777" w:rsidR="00BB78F0" w:rsidRDefault="00BB78F0" w:rsidP="00D3284A">
            <w:pPr>
              <w:tabs>
                <w:tab w:val="left" w:pos="900"/>
              </w:tabs>
              <w:rPr>
                <w:rFonts w:eastAsiaTheme="minorHAnsi"/>
              </w:rPr>
            </w:pPr>
            <w:r>
              <w:rPr>
                <w:rFonts w:eastAsiaTheme="minorHAnsi"/>
              </w:rPr>
              <w:t xml:space="preserve">King et al., 2021. </w:t>
            </w:r>
          </w:p>
        </w:tc>
        <w:tc>
          <w:tcPr>
            <w:tcW w:w="2160" w:type="dxa"/>
          </w:tcPr>
          <w:p w14:paraId="78EE49D7" w14:textId="77777777" w:rsidR="00BB78F0" w:rsidRPr="00E564C3" w:rsidRDefault="00BB78F0" w:rsidP="00D3284A">
            <w:pPr>
              <w:tabs>
                <w:tab w:val="left" w:pos="900"/>
              </w:tabs>
              <w:rPr>
                <w:rFonts w:eastAsiaTheme="minorHAnsi"/>
              </w:rPr>
            </w:pPr>
            <w:r>
              <w:rPr>
                <w:rFonts w:eastAsiaTheme="minorHAnsi"/>
              </w:rPr>
              <w:t xml:space="preserve">The purpose of this study is to investigate parents of youth with disabilities’ view on residential immersive life skills programs. </w:t>
            </w:r>
          </w:p>
        </w:tc>
        <w:tc>
          <w:tcPr>
            <w:tcW w:w="1710" w:type="dxa"/>
          </w:tcPr>
          <w:p w14:paraId="6893BB22" w14:textId="77777777" w:rsidR="00BB78F0" w:rsidRPr="00E564C3" w:rsidRDefault="00BB78F0" w:rsidP="00D3284A">
            <w:pPr>
              <w:tabs>
                <w:tab w:val="left" w:pos="900"/>
              </w:tabs>
              <w:rPr>
                <w:rFonts w:eastAsiaTheme="minorHAnsi"/>
              </w:rPr>
            </w:pPr>
            <w:r>
              <w:rPr>
                <w:rFonts w:eastAsiaTheme="minorHAnsi"/>
              </w:rPr>
              <w:t xml:space="preserve">Three- and twelve-month post-session interviews. Deductive thematic analysis. </w:t>
            </w:r>
          </w:p>
        </w:tc>
        <w:tc>
          <w:tcPr>
            <w:tcW w:w="1620" w:type="dxa"/>
          </w:tcPr>
          <w:p w14:paraId="067EF546" w14:textId="77777777" w:rsidR="00BB78F0" w:rsidRDefault="00BB78F0" w:rsidP="00D3284A">
            <w:pPr>
              <w:tabs>
                <w:tab w:val="left" w:pos="900"/>
              </w:tabs>
              <w:rPr>
                <w:rFonts w:eastAsiaTheme="minorHAnsi"/>
              </w:rPr>
            </w:pPr>
            <w:r>
              <w:rPr>
                <w:rFonts w:eastAsiaTheme="minorHAnsi"/>
              </w:rPr>
              <w:t xml:space="preserve">Cerebral palsy, Duchenne’s muscular dystrophy, spinal bifida, Friedreich’s ataxia, facial syndrome, </w:t>
            </w:r>
            <w:r>
              <w:rPr>
                <w:rFonts w:eastAsiaTheme="minorHAnsi"/>
              </w:rPr>
              <w:lastRenderedPageBreak/>
              <w:t xml:space="preserve">communication disorder. </w:t>
            </w:r>
          </w:p>
          <w:p w14:paraId="4F9443D0" w14:textId="77777777" w:rsidR="00BB78F0" w:rsidRPr="00E564C3" w:rsidRDefault="00BB78F0" w:rsidP="00D3284A">
            <w:pPr>
              <w:tabs>
                <w:tab w:val="left" w:pos="900"/>
              </w:tabs>
              <w:rPr>
                <w:rFonts w:eastAsiaTheme="minorHAnsi"/>
              </w:rPr>
            </w:pPr>
          </w:p>
        </w:tc>
        <w:tc>
          <w:tcPr>
            <w:tcW w:w="2160" w:type="dxa"/>
          </w:tcPr>
          <w:p w14:paraId="05FA640C" w14:textId="77777777" w:rsidR="00BB78F0" w:rsidRPr="00E564C3" w:rsidRDefault="00BB78F0" w:rsidP="00D3284A">
            <w:pPr>
              <w:tabs>
                <w:tab w:val="left" w:pos="900"/>
              </w:tabs>
              <w:contextualSpacing/>
              <w:rPr>
                <w:rFonts w:eastAsiaTheme="minorHAnsi"/>
              </w:rPr>
            </w:pPr>
            <w:r>
              <w:rPr>
                <w:rFonts w:eastAsiaTheme="minorHAnsi"/>
              </w:rPr>
              <w:lastRenderedPageBreak/>
              <w:t xml:space="preserve">Interventions included social learning, experiential learning, and self-determination theory. The intervention sessions at the residential life skills program include </w:t>
            </w:r>
            <w:r>
              <w:rPr>
                <w:rFonts w:eastAsiaTheme="minorHAnsi"/>
              </w:rPr>
              <w:lastRenderedPageBreak/>
              <w:t xml:space="preserve">time management and organizational skills, financial management, community mobility, meal preparation, and shopping. </w:t>
            </w:r>
          </w:p>
        </w:tc>
        <w:tc>
          <w:tcPr>
            <w:tcW w:w="2088" w:type="dxa"/>
          </w:tcPr>
          <w:p w14:paraId="71DCDFE5" w14:textId="77777777" w:rsidR="00BB78F0" w:rsidRPr="00E564C3" w:rsidRDefault="00BB78F0" w:rsidP="00D3284A">
            <w:pPr>
              <w:tabs>
                <w:tab w:val="left" w:pos="900"/>
              </w:tabs>
              <w:contextualSpacing/>
              <w:rPr>
                <w:rFonts w:eastAsiaTheme="minorHAnsi"/>
              </w:rPr>
            </w:pPr>
            <w:r>
              <w:rPr>
                <w:rFonts w:eastAsiaTheme="minorHAnsi"/>
              </w:rPr>
              <w:lastRenderedPageBreak/>
              <w:t xml:space="preserve">The parents found that their child had increased self-confidence in new situations and maturity in their ability to engage in the environment. </w:t>
            </w:r>
          </w:p>
        </w:tc>
        <w:tc>
          <w:tcPr>
            <w:tcW w:w="1530" w:type="dxa"/>
          </w:tcPr>
          <w:p w14:paraId="41865598" w14:textId="77777777" w:rsidR="00BB78F0" w:rsidRPr="00E564C3" w:rsidRDefault="00BB78F0" w:rsidP="00D3284A">
            <w:pPr>
              <w:tabs>
                <w:tab w:val="left" w:pos="900"/>
              </w:tabs>
              <w:rPr>
                <w:rFonts w:eastAsiaTheme="minorHAnsi"/>
              </w:rPr>
            </w:pPr>
            <w:r>
              <w:rPr>
                <w:rFonts w:eastAsiaTheme="minorHAnsi"/>
              </w:rPr>
              <w:t xml:space="preserve">14-21 years old. </w:t>
            </w:r>
          </w:p>
        </w:tc>
        <w:tc>
          <w:tcPr>
            <w:tcW w:w="1530" w:type="dxa"/>
          </w:tcPr>
          <w:p w14:paraId="598E765E" w14:textId="04B8A6F5" w:rsidR="00BB78F0" w:rsidRPr="00E564C3" w:rsidRDefault="00BB78F0" w:rsidP="00D3284A">
            <w:pPr>
              <w:tabs>
                <w:tab w:val="left" w:pos="900"/>
              </w:tabs>
              <w:rPr>
                <w:rFonts w:eastAsiaTheme="minorHAnsi"/>
              </w:rPr>
            </w:pPr>
            <w:r>
              <w:rPr>
                <w:rFonts w:eastAsiaTheme="minorHAnsi"/>
              </w:rPr>
              <w:t xml:space="preserve">Meal preparation, </w:t>
            </w:r>
            <w:r w:rsidR="00037DC5">
              <w:rPr>
                <w:rFonts w:eastAsiaTheme="minorHAnsi"/>
              </w:rPr>
              <w:t xml:space="preserve">home management, </w:t>
            </w:r>
            <w:r>
              <w:rPr>
                <w:rFonts w:eastAsiaTheme="minorHAnsi"/>
              </w:rPr>
              <w:t xml:space="preserve">community mobility, shopping, </w:t>
            </w:r>
            <w:r>
              <w:rPr>
                <w:rFonts w:eastAsiaTheme="minorHAnsi"/>
              </w:rPr>
              <w:lastRenderedPageBreak/>
              <w:t xml:space="preserve">financial management. </w:t>
            </w:r>
          </w:p>
        </w:tc>
      </w:tr>
      <w:tr w:rsidR="00BB78F0" w:rsidRPr="00E564C3" w14:paraId="6C28A307" w14:textId="77777777" w:rsidTr="00D3284A">
        <w:tc>
          <w:tcPr>
            <w:tcW w:w="2340" w:type="dxa"/>
          </w:tcPr>
          <w:p w14:paraId="7E0636B4" w14:textId="77777777" w:rsidR="00BB78F0" w:rsidRDefault="00BB78F0" w:rsidP="00D3284A">
            <w:pPr>
              <w:tabs>
                <w:tab w:val="left" w:pos="900"/>
              </w:tabs>
              <w:rPr>
                <w:rFonts w:eastAsiaTheme="minorHAnsi"/>
              </w:rPr>
            </w:pPr>
            <w:r>
              <w:rPr>
                <w:rFonts w:eastAsiaTheme="minorHAnsi"/>
              </w:rPr>
              <w:lastRenderedPageBreak/>
              <w:t xml:space="preserve">Munsell et al., 2020. </w:t>
            </w:r>
          </w:p>
        </w:tc>
        <w:tc>
          <w:tcPr>
            <w:tcW w:w="2160" w:type="dxa"/>
          </w:tcPr>
          <w:p w14:paraId="4F6D9E43" w14:textId="77777777" w:rsidR="00BB78F0" w:rsidRPr="00E564C3" w:rsidRDefault="00BB78F0" w:rsidP="00D3284A">
            <w:pPr>
              <w:tabs>
                <w:tab w:val="left" w:pos="900"/>
              </w:tabs>
              <w:rPr>
                <w:rFonts w:eastAsiaTheme="minorHAnsi"/>
              </w:rPr>
            </w:pPr>
            <w:r>
              <w:rPr>
                <w:rFonts w:eastAsiaTheme="minorHAnsi"/>
              </w:rPr>
              <w:t xml:space="preserve">The purpose of this study is to explore the challenges individuals face in social participation, executive function, and behavior management during daily tasks. </w:t>
            </w:r>
          </w:p>
        </w:tc>
        <w:tc>
          <w:tcPr>
            <w:tcW w:w="1710" w:type="dxa"/>
          </w:tcPr>
          <w:p w14:paraId="3B5D4862" w14:textId="77777777" w:rsidR="00BB78F0" w:rsidRPr="00E564C3" w:rsidRDefault="00BB78F0" w:rsidP="00D3284A">
            <w:pPr>
              <w:tabs>
                <w:tab w:val="left" w:pos="900"/>
              </w:tabs>
              <w:rPr>
                <w:rFonts w:eastAsiaTheme="minorHAnsi"/>
              </w:rPr>
            </w:pPr>
            <w:r>
              <w:rPr>
                <w:rFonts w:eastAsiaTheme="minorHAnsi"/>
              </w:rPr>
              <w:t xml:space="preserve">Secondary analysis, use of structural equation modeling. </w:t>
            </w:r>
          </w:p>
        </w:tc>
        <w:tc>
          <w:tcPr>
            <w:tcW w:w="1620" w:type="dxa"/>
          </w:tcPr>
          <w:p w14:paraId="04AE9B7E" w14:textId="77777777" w:rsidR="00BB78F0" w:rsidRPr="00E564C3" w:rsidRDefault="00BB78F0" w:rsidP="00D3284A">
            <w:pPr>
              <w:tabs>
                <w:tab w:val="left" w:pos="900"/>
              </w:tabs>
              <w:rPr>
                <w:rFonts w:eastAsiaTheme="minorHAnsi"/>
              </w:rPr>
            </w:pPr>
            <w:r>
              <w:rPr>
                <w:rFonts w:eastAsiaTheme="minorHAnsi"/>
              </w:rPr>
              <w:t xml:space="preserve">ASD </w:t>
            </w:r>
          </w:p>
        </w:tc>
        <w:tc>
          <w:tcPr>
            <w:tcW w:w="2160" w:type="dxa"/>
          </w:tcPr>
          <w:p w14:paraId="398FD39E" w14:textId="77777777" w:rsidR="00BB78F0" w:rsidRPr="00E564C3" w:rsidRDefault="00BB78F0" w:rsidP="00D3284A">
            <w:pPr>
              <w:tabs>
                <w:tab w:val="left" w:pos="900"/>
              </w:tabs>
              <w:contextualSpacing/>
              <w:rPr>
                <w:rFonts w:eastAsiaTheme="minorHAnsi"/>
              </w:rPr>
            </w:pPr>
            <w:r>
              <w:rPr>
                <w:rFonts w:eastAsiaTheme="minorHAnsi"/>
              </w:rPr>
              <w:t xml:space="preserve">Looked at how well the participants were able to manage their daily life tasks and discrete functional skills. </w:t>
            </w:r>
          </w:p>
        </w:tc>
        <w:tc>
          <w:tcPr>
            <w:tcW w:w="2088" w:type="dxa"/>
          </w:tcPr>
          <w:p w14:paraId="5DB619A1" w14:textId="77777777" w:rsidR="00BB78F0" w:rsidRPr="00E564C3" w:rsidRDefault="00BB78F0" w:rsidP="00D3284A">
            <w:pPr>
              <w:tabs>
                <w:tab w:val="left" w:pos="900"/>
              </w:tabs>
              <w:contextualSpacing/>
              <w:rPr>
                <w:rFonts w:eastAsiaTheme="minorHAnsi"/>
              </w:rPr>
            </w:pPr>
            <w:r>
              <w:rPr>
                <w:rFonts w:eastAsiaTheme="minorHAnsi"/>
              </w:rPr>
              <w:t xml:space="preserve">Targeting interventions for self-management of daily life tasks improved participation in independent living. </w:t>
            </w:r>
          </w:p>
        </w:tc>
        <w:tc>
          <w:tcPr>
            <w:tcW w:w="1530" w:type="dxa"/>
          </w:tcPr>
          <w:p w14:paraId="2E022F66" w14:textId="77777777" w:rsidR="00BB78F0" w:rsidRPr="00E564C3" w:rsidRDefault="00BB78F0" w:rsidP="00D3284A">
            <w:pPr>
              <w:tabs>
                <w:tab w:val="left" w:pos="900"/>
              </w:tabs>
              <w:rPr>
                <w:rFonts w:eastAsiaTheme="minorHAnsi"/>
              </w:rPr>
            </w:pPr>
            <w:r>
              <w:rPr>
                <w:rFonts w:eastAsiaTheme="minorHAnsi"/>
              </w:rPr>
              <w:t xml:space="preserve">13-16 years old. </w:t>
            </w:r>
          </w:p>
        </w:tc>
        <w:tc>
          <w:tcPr>
            <w:tcW w:w="1530" w:type="dxa"/>
          </w:tcPr>
          <w:p w14:paraId="24E123D7" w14:textId="77777777" w:rsidR="00BB78F0" w:rsidRPr="00E564C3" w:rsidRDefault="00BB78F0" w:rsidP="00D3284A">
            <w:pPr>
              <w:tabs>
                <w:tab w:val="left" w:pos="900"/>
              </w:tabs>
              <w:rPr>
                <w:rFonts w:eastAsiaTheme="minorHAnsi"/>
              </w:rPr>
            </w:pPr>
            <w:r>
              <w:rPr>
                <w:rFonts w:eastAsiaTheme="minorHAnsi"/>
              </w:rPr>
              <w:t xml:space="preserve">Social participation </w:t>
            </w:r>
          </w:p>
        </w:tc>
      </w:tr>
      <w:tr w:rsidR="00BB78F0" w:rsidRPr="00E564C3" w14:paraId="09E0BA71" w14:textId="77777777" w:rsidTr="00D3284A">
        <w:tc>
          <w:tcPr>
            <w:tcW w:w="2340" w:type="dxa"/>
          </w:tcPr>
          <w:p w14:paraId="6E033F06" w14:textId="77777777" w:rsidR="00BB78F0" w:rsidRDefault="00BB78F0" w:rsidP="00D3284A">
            <w:pPr>
              <w:tabs>
                <w:tab w:val="left" w:pos="900"/>
              </w:tabs>
              <w:rPr>
                <w:rFonts w:eastAsiaTheme="minorHAnsi"/>
              </w:rPr>
            </w:pPr>
            <w:r>
              <w:rPr>
                <w:rFonts w:eastAsiaTheme="minorHAnsi"/>
              </w:rPr>
              <w:t xml:space="preserve">O’Neill and Gutman, 2020. </w:t>
            </w:r>
          </w:p>
        </w:tc>
        <w:tc>
          <w:tcPr>
            <w:tcW w:w="2160" w:type="dxa"/>
          </w:tcPr>
          <w:p w14:paraId="0D95B036" w14:textId="22628FAA" w:rsidR="00BB78F0" w:rsidRPr="00E564C3" w:rsidRDefault="00BB78F0" w:rsidP="00D3284A">
            <w:pPr>
              <w:tabs>
                <w:tab w:val="left" w:pos="900"/>
              </w:tabs>
              <w:rPr>
                <w:rFonts w:eastAsiaTheme="minorHAnsi"/>
              </w:rPr>
            </w:pPr>
            <w:r>
              <w:rPr>
                <w:rFonts w:eastAsiaTheme="minorHAnsi"/>
              </w:rPr>
              <w:t xml:space="preserve">The purpose of this article is to provide occupational therapists </w:t>
            </w:r>
            <w:r w:rsidR="00143B50">
              <w:rPr>
                <w:rFonts w:eastAsiaTheme="minorHAnsi"/>
              </w:rPr>
              <w:t xml:space="preserve">with practice guidelines for treating youth with IDD. </w:t>
            </w:r>
          </w:p>
        </w:tc>
        <w:tc>
          <w:tcPr>
            <w:tcW w:w="1710" w:type="dxa"/>
          </w:tcPr>
          <w:p w14:paraId="4295B1CD" w14:textId="0E628994" w:rsidR="00BB78F0" w:rsidRPr="00E564C3" w:rsidRDefault="00143B50" w:rsidP="00D3284A">
            <w:pPr>
              <w:tabs>
                <w:tab w:val="left" w:pos="900"/>
              </w:tabs>
              <w:rPr>
                <w:rFonts w:eastAsiaTheme="minorHAnsi"/>
              </w:rPr>
            </w:pPr>
            <w:r>
              <w:rPr>
                <w:rFonts w:eastAsiaTheme="minorHAnsi"/>
              </w:rPr>
              <w:t>Practice guidelines</w:t>
            </w:r>
            <w:r w:rsidR="00CF40EB">
              <w:rPr>
                <w:rFonts w:eastAsiaTheme="minorHAnsi"/>
              </w:rPr>
              <w:t xml:space="preserve">, case study. </w:t>
            </w:r>
          </w:p>
        </w:tc>
        <w:tc>
          <w:tcPr>
            <w:tcW w:w="1620" w:type="dxa"/>
          </w:tcPr>
          <w:p w14:paraId="03D2E96E" w14:textId="2F490A87" w:rsidR="00BB78F0" w:rsidRPr="00E564C3" w:rsidRDefault="00143B50" w:rsidP="00D3284A">
            <w:pPr>
              <w:tabs>
                <w:tab w:val="left" w:pos="900"/>
              </w:tabs>
              <w:rPr>
                <w:rFonts w:eastAsiaTheme="minorHAnsi"/>
              </w:rPr>
            </w:pPr>
            <w:r>
              <w:rPr>
                <w:rFonts w:eastAsiaTheme="minorHAnsi"/>
              </w:rPr>
              <w:t xml:space="preserve">Moderate ID </w:t>
            </w:r>
          </w:p>
        </w:tc>
        <w:tc>
          <w:tcPr>
            <w:tcW w:w="2160" w:type="dxa"/>
          </w:tcPr>
          <w:p w14:paraId="4D51E046" w14:textId="55906C33" w:rsidR="00BB78F0" w:rsidRPr="00E564C3" w:rsidRDefault="00143B50" w:rsidP="00D3284A">
            <w:pPr>
              <w:tabs>
                <w:tab w:val="left" w:pos="900"/>
              </w:tabs>
              <w:contextualSpacing/>
              <w:rPr>
                <w:rFonts w:eastAsiaTheme="minorHAnsi"/>
              </w:rPr>
            </w:pPr>
            <w:r>
              <w:rPr>
                <w:rFonts w:eastAsiaTheme="minorHAnsi"/>
              </w:rPr>
              <w:t>Focused on the IDD population going through the transition period investigated the challenges they face</w:t>
            </w:r>
            <w:r w:rsidR="00C06F90">
              <w:rPr>
                <w:rFonts w:eastAsiaTheme="minorHAnsi"/>
              </w:rPr>
              <w:t>d</w:t>
            </w:r>
            <w:r>
              <w:rPr>
                <w:rFonts w:eastAsiaTheme="minorHAnsi"/>
              </w:rPr>
              <w:t xml:space="preserve">. </w:t>
            </w:r>
          </w:p>
        </w:tc>
        <w:tc>
          <w:tcPr>
            <w:tcW w:w="2088" w:type="dxa"/>
          </w:tcPr>
          <w:p w14:paraId="5915C9ED" w14:textId="3162C746" w:rsidR="00BB78F0" w:rsidRPr="00E564C3" w:rsidRDefault="00143B50" w:rsidP="00D3284A">
            <w:pPr>
              <w:tabs>
                <w:tab w:val="left" w:pos="900"/>
              </w:tabs>
              <w:contextualSpacing/>
              <w:rPr>
                <w:rFonts w:eastAsiaTheme="minorHAnsi"/>
              </w:rPr>
            </w:pPr>
            <w:r>
              <w:rPr>
                <w:rFonts w:eastAsiaTheme="minorHAnsi"/>
              </w:rPr>
              <w:t>Adaptive functioning, academic, social, and practical skills</w:t>
            </w:r>
            <w:r w:rsidR="00CF40EB">
              <w:rPr>
                <w:rFonts w:eastAsiaTheme="minorHAnsi"/>
              </w:rPr>
              <w:t xml:space="preserve">. </w:t>
            </w:r>
          </w:p>
        </w:tc>
        <w:tc>
          <w:tcPr>
            <w:tcW w:w="1530" w:type="dxa"/>
          </w:tcPr>
          <w:p w14:paraId="33F0638A" w14:textId="6F2AA4D2" w:rsidR="00BB78F0" w:rsidRPr="00E564C3" w:rsidRDefault="00CF40EB" w:rsidP="00D3284A">
            <w:pPr>
              <w:tabs>
                <w:tab w:val="left" w:pos="900"/>
              </w:tabs>
              <w:rPr>
                <w:rFonts w:eastAsiaTheme="minorHAnsi"/>
              </w:rPr>
            </w:pPr>
            <w:r>
              <w:rPr>
                <w:rFonts w:eastAsiaTheme="minorHAnsi"/>
              </w:rPr>
              <w:t xml:space="preserve">15-24 years old. </w:t>
            </w:r>
          </w:p>
        </w:tc>
        <w:tc>
          <w:tcPr>
            <w:tcW w:w="1530" w:type="dxa"/>
          </w:tcPr>
          <w:p w14:paraId="282761D4" w14:textId="7E533EC4" w:rsidR="00BB78F0" w:rsidRPr="00E564C3" w:rsidRDefault="00CF40EB" w:rsidP="00D3284A">
            <w:pPr>
              <w:tabs>
                <w:tab w:val="left" w:pos="900"/>
              </w:tabs>
              <w:rPr>
                <w:rFonts w:eastAsiaTheme="minorHAnsi"/>
              </w:rPr>
            </w:pPr>
            <w:r>
              <w:rPr>
                <w:rFonts w:eastAsiaTheme="minorHAnsi"/>
              </w:rPr>
              <w:t xml:space="preserve">Social participation </w:t>
            </w:r>
          </w:p>
        </w:tc>
      </w:tr>
    </w:tbl>
    <w:p w14:paraId="0D5D2BEA" w14:textId="77777777" w:rsidR="00BB78F0" w:rsidRDefault="00BB78F0" w:rsidP="00BB78F0"/>
    <w:p w14:paraId="0F6CAAA0" w14:textId="77777777" w:rsidR="00D00C2D" w:rsidRDefault="00D00C2D" w:rsidP="007D687A"/>
    <w:p w14:paraId="640154CC" w14:textId="77777777" w:rsidR="003554D7" w:rsidRDefault="003554D7" w:rsidP="00D83EB2">
      <w:pPr>
        <w:rPr>
          <w:b/>
          <w:bCs/>
        </w:rPr>
        <w:sectPr w:rsidR="003554D7" w:rsidSect="00A650AB">
          <w:pgSz w:w="15840" w:h="12240" w:orient="landscape"/>
          <w:pgMar w:top="720" w:right="720" w:bottom="720" w:left="720" w:header="720" w:footer="720" w:gutter="0"/>
          <w:cols w:space="720"/>
          <w:docGrid w:linePitch="360"/>
        </w:sectPr>
      </w:pPr>
    </w:p>
    <w:p w14:paraId="0779C216" w14:textId="77777777" w:rsidR="00D83EB2" w:rsidRPr="00D50B20" w:rsidRDefault="00D83EB2" w:rsidP="00F43D76">
      <w:pPr>
        <w:spacing w:line="480" w:lineRule="auto"/>
        <w:rPr>
          <w:b/>
          <w:bCs/>
        </w:rPr>
      </w:pPr>
      <w:r w:rsidRPr="00D50B20">
        <w:rPr>
          <w:b/>
          <w:bCs/>
        </w:rPr>
        <w:lastRenderedPageBreak/>
        <w:t>Results</w:t>
      </w:r>
    </w:p>
    <w:p w14:paraId="1BEB87C9" w14:textId="35C4DE05" w:rsidR="00612D86" w:rsidRDefault="00D83EB2" w:rsidP="00612D86">
      <w:pPr>
        <w:spacing w:line="480" w:lineRule="auto"/>
        <w:ind w:firstLine="720"/>
      </w:pPr>
      <w:r>
        <w:t xml:space="preserve">The initial search conducted on </w:t>
      </w:r>
      <w:r w:rsidR="00B53C7F">
        <w:t>CINHAL, Medline, Eric, and APA PsycINFO</w:t>
      </w:r>
      <w:r>
        <w:t xml:space="preserve"> identified </w:t>
      </w:r>
      <w:r w:rsidR="00C8564A">
        <w:t>558 articles</w:t>
      </w:r>
      <w:r>
        <w:t xml:space="preserve"> </w:t>
      </w:r>
      <w:r w:rsidR="00C8564A">
        <w:t>with 120 duplicates removed prior to screening.</w:t>
      </w:r>
      <w:r w:rsidR="00F21D65">
        <w:t xml:space="preserve"> </w:t>
      </w:r>
      <w:r w:rsidR="00C8564A">
        <w:t xml:space="preserve"> There were 4</w:t>
      </w:r>
      <w:r w:rsidR="002543C3">
        <w:t>3</w:t>
      </w:r>
      <w:r w:rsidR="00C8564A">
        <w:t xml:space="preserve">8 articles </w:t>
      </w:r>
      <w:r>
        <w:t>screened</w:t>
      </w:r>
      <w:r w:rsidR="00DE09FA">
        <w:t xml:space="preserve"> </w:t>
      </w:r>
      <w:r w:rsidR="00B53C7F">
        <w:t>by the primary investigator and secondary reviewers resulting in 3</w:t>
      </w:r>
      <w:r w:rsidR="00DE09FA">
        <w:t xml:space="preserve">92 excluded based on the title and abstract. The </w:t>
      </w:r>
      <w:r w:rsidR="00744C5D">
        <w:t>full text</w:t>
      </w:r>
      <w:r w:rsidR="00DE09FA">
        <w:t xml:space="preserve"> of the remaining </w:t>
      </w:r>
      <w:r>
        <w:t xml:space="preserve">46 </w:t>
      </w:r>
      <w:r w:rsidR="00747726">
        <w:t>was</w:t>
      </w:r>
      <w:r w:rsidR="00DE09FA">
        <w:t xml:space="preserve"> reviewed and 35 articles</w:t>
      </w:r>
      <w:r w:rsidR="005F41F7">
        <w:t xml:space="preserve"> </w:t>
      </w:r>
      <w:r w:rsidR="00747726">
        <w:t xml:space="preserve">were </w:t>
      </w:r>
      <w:r w:rsidR="005F41F7">
        <w:t>assess</w:t>
      </w:r>
      <w:r w:rsidR="00C06F90">
        <w:t>ed</w:t>
      </w:r>
      <w:r w:rsidR="005F41F7">
        <w:t xml:space="preserve"> for eligibility</w:t>
      </w:r>
      <w:r w:rsidR="00037DC5">
        <w:t>. There were 11 articles not retrieved due to not having</w:t>
      </w:r>
      <w:r w:rsidR="004D0BBF">
        <w:t xml:space="preserve"> access to</w:t>
      </w:r>
      <w:r w:rsidR="00037DC5">
        <w:t xml:space="preserve"> full text. Additionally, </w:t>
      </w:r>
      <w:r w:rsidR="005F41F7">
        <w:t>27</w:t>
      </w:r>
      <w:r w:rsidR="002543C3">
        <w:t xml:space="preserve"> were excluded due to not meeting the inclusion criteria</w:t>
      </w:r>
      <w:r w:rsidR="00037DC5">
        <w:t xml:space="preserve"> after downloading full texts</w:t>
      </w:r>
      <w:r w:rsidR="002543C3">
        <w:t xml:space="preserve">. </w:t>
      </w:r>
      <w:r w:rsidR="005F41F7">
        <w:t xml:space="preserve">Finally, 8 articles were included for analysis. The review process for this scoping review can be found in </w:t>
      </w:r>
      <w:r w:rsidR="00037DC5">
        <w:t xml:space="preserve">Chart 1. </w:t>
      </w:r>
    </w:p>
    <w:p w14:paraId="1E2BF646" w14:textId="524734CE" w:rsidR="00037DC5" w:rsidRPr="00037DC5" w:rsidRDefault="00037DC5" w:rsidP="00037DC5">
      <w:pPr>
        <w:spacing w:line="480" w:lineRule="auto"/>
        <w:rPr>
          <w:b/>
          <w:bCs/>
        </w:rPr>
      </w:pPr>
      <w:r w:rsidRPr="00037DC5">
        <w:rPr>
          <w:b/>
          <w:bCs/>
        </w:rPr>
        <w:t xml:space="preserve">Chart 1. </w:t>
      </w:r>
    </w:p>
    <w:p w14:paraId="514F2900" w14:textId="13E52397" w:rsidR="00037DC5" w:rsidRPr="00037DC5" w:rsidRDefault="00037DC5" w:rsidP="00037DC5">
      <w:pPr>
        <w:spacing w:line="480" w:lineRule="auto"/>
        <w:rPr>
          <w:i/>
          <w:iCs/>
        </w:rPr>
      </w:pPr>
      <w:r w:rsidRPr="00037DC5">
        <w:rPr>
          <w:i/>
          <w:iCs/>
        </w:rPr>
        <w:t xml:space="preserve">PRISMA Flow Chart </w:t>
      </w:r>
    </w:p>
    <w:p w14:paraId="5D7F6DD4" w14:textId="77777777" w:rsidR="00462A9E" w:rsidRDefault="00462A9E" w:rsidP="00462A9E"/>
    <w:p w14:paraId="3A2ED9AE" w14:textId="4D8B300C" w:rsidR="005426EF" w:rsidRDefault="005426EF" w:rsidP="00447B30">
      <w:r>
        <w:rPr>
          <w:noProof/>
        </w:rPr>
        <mc:AlternateContent>
          <mc:Choice Requires="wps">
            <w:drawing>
              <wp:anchor distT="0" distB="0" distL="114300" distR="114300" simplePos="0" relativeHeight="251676672" behindDoc="0" locked="0" layoutInCell="1" allowOverlap="1" wp14:anchorId="4DE76F22" wp14:editId="6FBF2675">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E81EDE0" w14:textId="77777777" w:rsidR="005426EF" w:rsidRPr="001502CF" w:rsidRDefault="005426EF" w:rsidP="005426E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76F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0f9ed5 [3207]" strokecolor="#074e69 [1607]" strokeweight="1pt">
                <v:textbox>
                  <w:txbxContent>
                    <w:p w14:paraId="1E81EDE0" w14:textId="77777777" w:rsidR="005426EF" w:rsidRPr="001502CF" w:rsidRDefault="005426EF" w:rsidP="005426E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3261C8A5" w14:textId="77777777" w:rsidR="005426EF" w:rsidRDefault="005426EF" w:rsidP="00447B30"/>
    <w:p w14:paraId="6C5B3303" w14:textId="09E34183" w:rsidR="005426EF" w:rsidRDefault="005426EF" w:rsidP="00447B30">
      <w:r>
        <w:rPr>
          <w:noProof/>
        </w:rPr>
        <mc:AlternateContent>
          <mc:Choice Requires="wps">
            <w:drawing>
              <wp:anchor distT="0" distB="0" distL="114300" distR="114300" simplePos="0" relativeHeight="251660288" behindDoc="0" locked="0" layoutInCell="1" allowOverlap="1" wp14:anchorId="6CBF2684" wp14:editId="2EFD6444">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007A8" w14:textId="77777777"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4E28E34" w14:textId="73BD268A"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Duplicate records removed (n =120)</w:t>
                            </w:r>
                          </w:p>
                          <w:p w14:paraId="06517353" w14:textId="3A7C79DD" w:rsidR="005426EF" w:rsidRPr="00560609" w:rsidRDefault="005426EF" w:rsidP="005426EF">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F2684" id="Rectangle 2"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207007A8" w14:textId="77777777"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4E28E34" w14:textId="73BD268A"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Duplicate records removed (n =120)</w:t>
                      </w:r>
                    </w:p>
                    <w:p w14:paraId="06517353" w14:textId="3A7C79DD" w:rsidR="005426EF" w:rsidRPr="00560609" w:rsidRDefault="005426EF" w:rsidP="005426EF">
                      <w:pPr>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AA99E13" wp14:editId="49C37FC6">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1F305" w14:textId="77777777"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494FCAC" w14:textId="4BD5C40B"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 xml:space="preserve">Databases (n = </w:t>
                            </w:r>
                            <w:r w:rsidR="00F43D76">
                              <w:rPr>
                                <w:rFonts w:ascii="Arial" w:hAnsi="Arial" w:cs="Arial"/>
                                <w:color w:val="000000" w:themeColor="text1"/>
                                <w:sz w:val="18"/>
                                <w:szCs w:val="20"/>
                              </w:rPr>
                              <w:t>558</w:t>
                            </w:r>
                            <w:r>
                              <w:rPr>
                                <w:rFonts w:ascii="Arial" w:hAnsi="Arial" w:cs="Arial"/>
                                <w:color w:val="000000" w:themeColor="text1"/>
                                <w:sz w:val="18"/>
                                <w:szCs w:val="20"/>
                              </w:rPr>
                              <w:t>)</w:t>
                            </w:r>
                          </w:p>
                          <w:p w14:paraId="32AE1266" w14:textId="77777777" w:rsidR="005426EF" w:rsidRDefault="005426EF" w:rsidP="005426EF">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CINHAL (n=94)</w:t>
                            </w:r>
                          </w:p>
                          <w:p w14:paraId="5B04AA92" w14:textId="77777777" w:rsidR="005426EF" w:rsidRDefault="005426EF" w:rsidP="005426EF">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ERIC (n=19)</w:t>
                            </w:r>
                          </w:p>
                          <w:p w14:paraId="5D1082DF" w14:textId="77777777" w:rsidR="005426EF" w:rsidRDefault="005426EF" w:rsidP="005426EF">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Medline (n=250)</w:t>
                            </w:r>
                          </w:p>
                          <w:p w14:paraId="1AD8CDCA" w14:textId="6A35D94A" w:rsidR="005426EF" w:rsidRPr="00447B30" w:rsidRDefault="005426EF" w:rsidP="00447B30">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APA PsycINFO (n=195)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99E13"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7DC1F305" w14:textId="77777777"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1494FCAC" w14:textId="4BD5C40B"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 xml:space="preserve">Databases (n = </w:t>
                      </w:r>
                      <w:r w:rsidR="00F43D76">
                        <w:rPr>
                          <w:rFonts w:ascii="Arial" w:hAnsi="Arial" w:cs="Arial"/>
                          <w:color w:val="000000" w:themeColor="text1"/>
                          <w:sz w:val="18"/>
                          <w:szCs w:val="20"/>
                        </w:rPr>
                        <w:t>558</w:t>
                      </w:r>
                      <w:r>
                        <w:rPr>
                          <w:rFonts w:ascii="Arial" w:hAnsi="Arial" w:cs="Arial"/>
                          <w:color w:val="000000" w:themeColor="text1"/>
                          <w:sz w:val="18"/>
                          <w:szCs w:val="20"/>
                        </w:rPr>
                        <w:t>)</w:t>
                      </w:r>
                    </w:p>
                    <w:p w14:paraId="32AE1266" w14:textId="77777777" w:rsidR="005426EF" w:rsidRDefault="005426EF" w:rsidP="005426EF">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CINHAL (n=94)</w:t>
                      </w:r>
                    </w:p>
                    <w:p w14:paraId="5B04AA92" w14:textId="77777777" w:rsidR="005426EF" w:rsidRDefault="005426EF" w:rsidP="005426EF">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ERIC (n=19)</w:t>
                      </w:r>
                    </w:p>
                    <w:p w14:paraId="5D1082DF" w14:textId="77777777" w:rsidR="005426EF" w:rsidRDefault="005426EF" w:rsidP="005426EF">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Medline (n=250)</w:t>
                      </w:r>
                    </w:p>
                    <w:p w14:paraId="1AD8CDCA" w14:textId="6A35D94A" w:rsidR="005426EF" w:rsidRPr="00447B30" w:rsidRDefault="005426EF" w:rsidP="00447B30">
                      <w:pPr>
                        <w:pStyle w:val="ListParagraph"/>
                        <w:numPr>
                          <w:ilvl w:val="0"/>
                          <w:numId w:val="2"/>
                        </w:numPr>
                        <w:rPr>
                          <w:rFonts w:ascii="Arial" w:hAnsi="Arial" w:cs="Arial"/>
                          <w:color w:val="000000" w:themeColor="text1"/>
                          <w:sz w:val="18"/>
                          <w:szCs w:val="20"/>
                        </w:rPr>
                      </w:pPr>
                      <w:r>
                        <w:rPr>
                          <w:rFonts w:ascii="Arial" w:hAnsi="Arial" w:cs="Arial"/>
                          <w:color w:val="000000" w:themeColor="text1"/>
                          <w:sz w:val="18"/>
                          <w:szCs w:val="20"/>
                        </w:rPr>
                        <w:t>APA PsycINFO (n=195)</w:t>
                      </w:r>
                    </w:p>
                  </w:txbxContent>
                </v:textbox>
              </v:rect>
            </w:pict>
          </mc:Fallback>
        </mc:AlternateContent>
      </w:r>
    </w:p>
    <w:p w14:paraId="01C0E877" w14:textId="77777777" w:rsidR="005426EF" w:rsidRDefault="005426EF" w:rsidP="00447B30"/>
    <w:p w14:paraId="60A2BFC5" w14:textId="77777777" w:rsidR="005426EF" w:rsidRDefault="005426EF" w:rsidP="00447B30">
      <w:r>
        <w:rPr>
          <w:noProof/>
        </w:rPr>
        <mc:AlternateContent>
          <mc:Choice Requires="wps">
            <w:drawing>
              <wp:anchor distT="0" distB="0" distL="114300" distR="114300" simplePos="0" relativeHeight="251678720" behindDoc="0" locked="0" layoutInCell="1" allowOverlap="1" wp14:anchorId="5F108336" wp14:editId="1786987E">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A5B8438" w14:textId="77777777" w:rsidR="005426EF" w:rsidRPr="001502CF" w:rsidRDefault="005426EF" w:rsidP="005426E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8336" id="Flowchart: Alternate Process 31" o:spid="_x0000_s1029" type="#_x0000_t176" style="position:absolute;margin-left:-31.8pt;margin-top:17.5pt;width:100.55pt;height:20.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d86dcb [1944]" strokecolor="black [3213]" strokeweight="1pt">
                <v:textbox>
                  <w:txbxContent>
                    <w:p w14:paraId="0A5B8438" w14:textId="77777777" w:rsidR="005426EF" w:rsidRPr="001502CF" w:rsidRDefault="005426EF" w:rsidP="005426E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EA3DEA7" w14:textId="77777777" w:rsidR="005426EF" w:rsidRDefault="005426EF" w:rsidP="00447B30"/>
    <w:p w14:paraId="4FA1A7B3" w14:textId="48874EB5" w:rsidR="005426EF" w:rsidRDefault="005426EF" w:rsidP="00447B30">
      <w:r>
        <w:rPr>
          <w:noProof/>
        </w:rPr>
        <mc:AlternateContent>
          <mc:Choice Requires="wps">
            <w:drawing>
              <wp:anchor distT="0" distB="0" distL="114300" distR="114300" simplePos="0" relativeHeight="251671552" behindDoc="0" locked="0" layoutInCell="1" allowOverlap="1" wp14:anchorId="2194E681" wp14:editId="59528BD4">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E98B8B4"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07AB619C" w14:textId="77777777" w:rsidR="005426EF" w:rsidRDefault="005426EF" w:rsidP="00447B30"/>
    <w:p w14:paraId="54CC6082" w14:textId="77777777" w:rsidR="005426EF" w:rsidRDefault="005426EF" w:rsidP="00447B30"/>
    <w:p w14:paraId="3F9F35F7" w14:textId="49FC5E78" w:rsidR="005426EF" w:rsidRDefault="005426EF" w:rsidP="00447B30">
      <w:r>
        <w:rPr>
          <w:noProof/>
        </w:rPr>
        <mc:AlternateContent>
          <mc:Choice Requires="wps">
            <w:drawing>
              <wp:anchor distT="0" distB="0" distL="114300" distR="114300" simplePos="0" relativeHeight="251681792" behindDoc="0" locked="0" layoutInCell="1" allowOverlap="1" wp14:anchorId="6B20234C" wp14:editId="71C0EC4B">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999FF" id="Straight Arrow Connector 27" o:spid="_x0000_s1026" type="#_x0000_t32" style="position:absolute;margin-left:110.25pt;margin-top:10.15pt;width:0;height:2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59E61D4B" w14:textId="3A89BC46" w:rsidR="005426EF" w:rsidRDefault="005426EF" w:rsidP="00447B30"/>
    <w:p w14:paraId="6BFEBAE8" w14:textId="77777777" w:rsidR="005426EF" w:rsidRDefault="005426EF" w:rsidP="00447B30">
      <w:r>
        <w:rPr>
          <w:noProof/>
        </w:rPr>
        <mc:AlternateContent>
          <mc:Choice Requires="wps">
            <w:drawing>
              <wp:anchor distT="0" distB="0" distL="114300" distR="114300" simplePos="0" relativeHeight="251672576" behindDoc="0" locked="0" layoutInCell="1" allowOverlap="1" wp14:anchorId="02B007A0" wp14:editId="3621469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7CE32E" id="Straight Arrow Connector 15" o:spid="_x0000_s1026" type="#_x0000_t32" style="position:absolute;margin-left:193.2pt;margin-top:25.8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359EC570" wp14:editId="27092059">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C16E8" w14:textId="2DB77525"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337B5D2"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 438)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EC570" id="Rectangle 3"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73EC16E8" w14:textId="2DB77525"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337B5D2"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 438)</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42AB4D3" wp14:editId="1567C8DD">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4716B9" w14:textId="77777777"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013FA475"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 392)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AB4D3" id="Rectangle 4"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4B4716B9" w14:textId="77777777"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013FA475"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 392)</w:t>
                      </w:r>
                    </w:p>
                  </w:txbxContent>
                </v:textbox>
              </v:rect>
            </w:pict>
          </mc:Fallback>
        </mc:AlternateContent>
      </w:r>
    </w:p>
    <w:p w14:paraId="26554F5E" w14:textId="77777777" w:rsidR="005426EF" w:rsidRDefault="005426EF" w:rsidP="00447B30"/>
    <w:p w14:paraId="31D29102" w14:textId="77777777" w:rsidR="005426EF" w:rsidRDefault="005426EF" w:rsidP="00447B30"/>
    <w:p w14:paraId="7611B49E" w14:textId="77777777" w:rsidR="005426EF" w:rsidRDefault="005426EF" w:rsidP="00447B30">
      <w:r>
        <w:rPr>
          <w:noProof/>
        </w:rPr>
        <mc:AlternateContent>
          <mc:Choice Requires="wps">
            <w:drawing>
              <wp:anchor distT="0" distB="0" distL="114300" distR="114300" simplePos="0" relativeHeight="251682816" behindDoc="0" locked="0" layoutInCell="1" allowOverlap="1" wp14:anchorId="49918154" wp14:editId="6E1B5273">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52B017" id="Straight Arrow Connector 35" o:spid="_x0000_s1026" type="#_x0000_t32" style="position:absolute;margin-left:110.25pt;margin-top:7.85pt;width:0;height:22.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204B08C3" w14:textId="77777777" w:rsidR="005426EF" w:rsidRDefault="005426EF" w:rsidP="00447B30"/>
    <w:p w14:paraId="799BE1F3" w14:textId="7B657963" w:rsidR="005426EF" w:rsidRDefault="005426EF" w:rsidP="00447B30">
      <w:r w:rsidRPr="00560609">
        <w:rPr>
          <w:noProof/>
        </w:rPr>
        <mc:AlternateContent>
          <mc:Choice Requires="wps">
            <w:drawing>
              <wp:anchor distT="0" distB="0" distL="114300" distR="114300" simplePos="0" relativeHeight="251663360" behindDoc="0" locked="0" layoutInCell="1" allowOverlap="1" wp14:anchorId="4A0DCC4B" wp14:editId="7EEEBDAD">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F33D0" w14:textId="6C169AA2"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51389EF"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 xml:space="preserve">(n = 46)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DCC4B" id="Rectangle 5"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311F33D0" w14:textId="6C169AA2"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51389EF"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 xml:space="preserve">(n = 46)                                                      </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0831AEC" wp14:editId="10AC896F">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513921" id="Straight Arrow Connector 16" o:spid="_x0000_s1026" type="#_x0000_t32" style="position:absolute;margin-left:193.95pt;margin-top:25.25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4384" behindDoc="0" locked="0" layoutInCell="1" allowOverlap="1" wp14:anchorId="4621158E" wp14:editId="7E44C532">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F415C" w14:textId="78026F25"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D9B2E5A"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1158E" id="Rectangle 6"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299F415C" w14:textId="78026F25"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D9B2E5A"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=11)</w:t>
                      </w:r>
                    </w:p>
                  </w:txbxContent>
                </v:textbox>
              </v:rect>
            </w:pict>
          </mc:Fallback>
        </mc:AlternateContent>
      </w:r>
    </w:p>
    <w:p w14:paraId="6C38218F" w14:textId="67D898A9" w:rsidR="005426EF" w:rsidRDefault="005426EF" w:rsidP="00447B30"/>
    <w:p w14:paraId="406C5593" w14:textId="77777777" w:rsidR="005426EF" w:rsidRDefault="005426EF" w:rsidP="00447B30">
      <w:r>
        <w:rPr>
          <w:noProof/>
        </w:rPr>
        <mc:AlternateContent>
          <mc:Choice Requires="wps">
            <w:drawing>
              <wp:anchor distT="0" distB="0" distL="114300" distR="114300" simplePos="0" relativeHeight="251679744" behindDoc="0" locked="0" layoutInCell="1" allowOverlap="1" wp14:anchorId="5B4BA71A" wp14:editId="00566F3C">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54E1AEC" w14:textId="77777777" w:rsidR="005426EF" w:rsidRDefault="005426EF" w:rsidP="005426EF">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06B9C9C" w14:textId="77777777" w:rsidR="005426EF" w:rsidRPr="001502CF" w:rsidRDefault="005426EF" w:rsidP="005426EF">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BA71A" id="Flowchart: Alternate Process 32" o:spid="_x0000_s1034" type="#_x0000_t176" style="position:absolute;margin-left:-91.4pt;margin-top:11.05pt;width:219.5pt;height:20.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d86dcb [1944]" strokecolor="black [3213]" strokeweight="1pt">
                <v:textbox>
                  <w:txbxContent>
                    <w:p w14:paraId="254E1AEC" w14:textId="77777777" w:rsidR="005426EF" w:rsidRDefault="005426EF" w:rsidP="005426EF">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06B9C9C" w14:textId="77777777" w:rsidR="005426EF" w:rsidRPr="001502CF" w:rsidRDefault="005426EF" w:rsidP="005426EF">
                      <w:pPr>
                        <w:rPr>
                          <w:rFonts w:ascii="Arial" w:hAnsi="Arial" w:cs="Arial"/>
                          <w:b/>
                          <w:color w:val="000000" w:themeColor="text1"/>
                          <w:sz w:val="18"/>
                          <w:szCs w:val="18"/>
                        </w:rPr>
                      </w:pPr>
                    </w:p>
                  </w:txbxContent>
                </v:textbox>
              </v:shape>
            </w:pict>
          </mc:Fallback>
        </mc:AlternateContent>
      </w:r>
    </w:p>
    <w:p w14:paraId="171BAE2A" w14:textId="29A693D0" w:rsidR="005426EF" w:rsidRDefault="005426EF" w:rsidP="00447B30">
      <w:r>
        <w:rPr>
          <w:noProof/>
        </w:rPr>
        <mc:AlternateContent>
          <mc:Choice Requires="wps">
            <w:drawing>
              <wp:anchor distT="0" distB="0" distL="114300" distR="114300" simplePos="0" relativeHeight="251683840" behindDoc="0" locked="0" layoutInCell="1" allowOverlap="1" wp14:anchorId="3ABE12C7" wp14:editId="76814CC7">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3089FB" id="Straight Arrow Connector 36" o:spid="_x0000_s1026" type="#_x0000_t32" style="position:absolute;margin-left:111pt;margin-top:4.45pt;width:0;height:22.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1BF538DB" w14:textId="77777777" w:rsidR="005426EF" w:rsidRDefault="005426EF" w:rsidP="00447B30"/>
    <w:p w14:paraId="2992FADC" w14:textId="27EF99A6" w:rsidR="005426EF" w:rsidRDefault="005426EF" w:rsidP="00447B30">
      <w:r>
        <w:rPr>
          <w:noProof/>
        </w:rPr>
        <mc:AlternateContent>
          <mc:Choice Requires="wps">
            <w:drawing>
              <wp:anchor distT="0" distB="0" distL="114300" distR="114300" simplePos="0" relativeHeight="251674624" behindDoc="0" locked="0" layoutInCell="1" allowOverlap="1" wp14:anchorId="616C6D28" wp14:editId="2DE63C43">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040CC" id="Straight Arrow Connector 17" o:spid="_x0000_s1026" type="#_x0000_t32" style="position:absolute;margin-left:195pt;margin-top:23.2pt;width:44.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5408" behindDoc="0" locked="0" layoutInCell="1" allowOverlap="1" wp14:anchorId="1B72D19E" wp14:editId="1EE04F60">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826DA" w14:textId="2E57565F"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66746C0"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2D19E" id="Rectangle 8"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132826DA" w14:textId="2E57565F"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66746C0" w14:textId="77777777" w:rsidR="005426EF" w:rsidRPr="00560609" w:rsidRDefault="005426EF" w:rsidP="005426EF">
                      <w:pPr>
                        <w:rPr>
                          <w:rFonts w:ascii="Arial" w:hAnsi="Arial" w:cs="Arial"/>
                          <w:color w:val="000000" w:themeColor="text1"/>
                          <w:sz w:val="18"/>
                          <w:szCs w:val="20"/>
                        </w:rPr>
                      </w:pPr>
                      <w:r>
                        <w:rPr>
                          <w:rFonts w:ascii="Arial" w:hAnsi="Arial" w:cs="Arial"/>
                          <w:color w:val="000000" w:themeColor="text1"/>
                          <w:sz w:val="18"/>
                          <w:szCs w:val="20"/>
                        </w:rPr>
                        <w:t>(n =35)</w:t>
                      </w:r>
                    </w:p>
                  </w:txbxContent>
                </v:textbox>
              </v:rect>
            </w:pict>
          </mc:Fallback>
        </mc:AlternateContent>
      </w:r>
      <w:r w:rsidRPr="00560609">
        <w:rPr>
          <w:noProof/>
        </w:rPr>
        <mc:AlternateContent>
          <mc:Choice Requires="wps">
            <w:drawing>
              <wp:anchor distT="0" distB="0" distL="114300" distR="114300" simplePos="0" relativeHeight="251666432" behindDoc="0" locked="0" layoutInCell="1" allowOverlap="1" wp14:anchorId="1E51D976" wp14:editId="45105790">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1E727" w14:textId="48761441"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(n=2</w:t>
                            </w:r>
                            <w:r w:rsidR="001F508F">
                              <w:rPr>
                                <w:rFonts w:ascii="Arial" w:hAnsi="Arial" w:cs="Arial"/>
                                <w:color w:val="000000" w:themeColor="text1"/>
                                <w:sz w:val="18"/>
                                <w:szCs w:val="20"/>
                              </w:rPr>
                              <w:t>7</w:t>
                            </w:r>
                            <w:r>
                              <w:rPr>
                                <w:rFonts w:ascii="Arial" w:hAnsi="Arial" w:cs="Arial"/>
                                <w:color w:val="000000" w:themeColor="text1"/>
                                <w:sz w:val="18"/>
                                <w:szCs w:val="20"/>
                              </w:rPr>
                              <w:t>):</w:t>
                            </w:r>
                          </w:p>
                          <w:p w14:paraId="20DD8DE0" w14:textId="6272FFF1"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 xml:space="preserve">Reason 1: wrong population (n = </w:t>
                            </w:r>
                            <w:r w:rsidR="009E799D">
                              <w:rPr>
                                <w:rFonts w:ascii="Arial" w:hAnsi="Arial" w:cs="Arial"/>
                                <w:color w:val="000000" w:themeColor="text1"/>
                                <w:sz w:val="18"/>
                                <w:szCs w:val="20"/>
                              </w:rPr>
                              <w:t>5</w:t>
                            </w:r>
                            <w:r>
                              <w:rPr>
                                <w:rFonts w:ascii="Arial" w:hAnsi="Arial" w:cs="Arial"/>
                                <w:color w:val="000000" w:themeColor="text1"/>
                                <w:sz w:val="18"/>
                                <w:szCs w:val="20"/>
                              </w:rPr>
                              <w:t>)</w:t>
                            </w:r>
                          </w:p>
                          <w:p w14:paraId="6E988185" w14:textId="4FE9AB74"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 xml:space="preserve">Reason 2: wrong study design (n = </w:t>
                            </w:r>
                            <w:r w:rsidR="009E799D">
                              <w:rPr>
                                <w:rFonts w:ascii="Arial" w:hAnsi="Arial" w:cs="Arial"/>
                                <w:color w:val="000000" w:themeColor="text1"/>
                                <w:sz w:val="18"/>
                                <w:szCs w:val="20"/>
                              </w:rPr>
                              <w:t>10</w:t>
                            </w:r>
                            <w:r>
                              <w:rPr>
                                <w:rFonts w:ascii="Arial" w:hAnsi="Arial" w:cs="Arial"/>
                                <w:color w:val="000000" w:themeColor="text1"/>
                                <w:sz w:val="18"/>
                                <w:szCs w:val="20"/>
                              </w:rPr>
                              <w:t>)</w:t>
                            </w:r>
                          </w:p>
                          <w:p w14:paraId="6BADBF87" w14:textId="4B9B32C7"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Reason 3: wrong outcome (n = 1</w:t>
                            </w:r>
                            <w:r w:rsidR="001F508F">
                              <w:rPr>
                                <w:rFonts w:ascii="Arial" w:hAnsi="Arial" w:cs="Arial"/>
                                <w:color w:val="000000" w:themeColor="text1"/>
                                <w:sz w:val="18"/>
                                <w:szCs w:val="20"/>
                              </w:rPr>
                              <w:t>2</w:t>
                            </w:r>
                            <w:r>
                              <w:rPr>
                                <w:rFonts w:ascii="Arial" w:hAnsi="Arial" w:cs="Arial"/>
                                <w:color w:val="000000" w:themeColor="text1"/>
                                <w:sz w:val="18"/>
                                <w:szCs w:val="20"/>
                              </w:rPr>
                              <w:t>)</w:t>
                            </w:r>
                          </w:p>
                          <w:p w14:paraId="039993C2" w14:textId="77777777" w:rsidR="005426EF" w:rsidRPr="00560609" w:rsidRDefault="005426EF" w:rsidP="005426EF">
                            <w:pPr>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1D976" id="Rectangle 9"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4311E727" w14:textId="48761441" w:rsidR="005426EF" w:rsidRDefault="005426EF" w:rsidP="005426EF">
                      <w:pP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(n=2</w:t>
                      </w:r>
                      <w:r w:rsidR="001F508F">
                        <w:rPr>
                          <w:rFonts w:ascii="Arial" w:hAnsi="Arial" w:cs="Arial"/>
                          <w:color w:val="000000" w:themeColor="text1"/>
                          <w:sz w:val="18"/>
                          <w:szCs w:val="20"/>
                        </w:rPr>
                        <w:t>7</w:t>
                      </w:r>
                      <w:r>
                        <w:rPr>
                          <w:rFonts w:ascii="Arial" w:hAnsi="Arial" w:cs="Arial"/>
                          <w:color w:val="000000" w:themeColor="text1"/>
                          <w:sz w:val="18"/>
                          <w:szCs w:val="20"/>
                        </w:rPr>
                        <w:t>):</w:t>
                      </w:r>
                    </w:p>
                    <w:p w14:paraId="20DD8DE0" w14:textId="6272FFF1"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 xml:space="preserve">Reason 1: wrong population (n = </w:t>
                      </w:r>
                      <w:r w:rsidR="009E799D">
                        <w:rPr>
                          <w:rFonts w:ascii="Arial" w:hAnsi="Arial" w:cs="Arial"/>
                          <w:color w:val="000000" w:themeColor="text1"/>
                          <w:sz w:val="18"/>
                          <w:szCs w:val="20"/>
                        </w:rPr>
                        <w:t>5</w:t>
                      </w:r>
                      <w:r>
                        <w:rPr>
                          <w:rFonts w:ascii="Arial" w:hAnsi="Arial" w:cs="Arial"/>
                          <w:color w:val="000000" w:themeColor="text1"/>
                          <w:sz w:val="18"/>
                          <w:szCs w:val="20"/>
                        </w:rPr>
                        <w:t>)</w:t>
                      </w:r>
                    </w:p>
                    <w:p w14:paraId="6E988185" w14:textId="4FE9AB74"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 xml:space="preserve">Reason 2: wrong study design (n = </w:t>
                      </w:r>
                      <w:r w:rsidR="009E799D">
                        <w:rPr>
                          <w:rFonts w:ascii="Arial" w:hAnsi="Arial" w:cs="Arial"/>
                          <w:color w:val="000000" w:themeColor="text1"/>
                          <w:sz w:val="18"/>
                          <w:szCs w:val="20"/>
                        </w:rPr>
                        <w:t>10</w:t>
                      </w:r>
                      <w:r>
                        <w:rPr>
                          <w:rFonts w:ascii="Arial" w:hAnsi="Arial" w:cs="Arial"/>
                          <w:color w:val="000000" w:themeColor="text1"/>
                          <w:sz w:val="18"/>
                          <w:szCs w:val="20"/>
                        </w:rPr>
                        <w:t>)</w:t>
                      </w:r>
                    </w:p>
                    <w:p w14:paraId="6BADBF87" w14:textId="4B9B32C7" w:rsidR="005426EF" w:rsidRDefault="005426EF" w:rsidP="005426EF">
                      <w:pPr>
                        <w:ind w:left="284"/>
                        <w:rPr>
                          <w:rFonts w:ascii="Arial" w:hAnsi="Arial" w:cs="Arial"/>
                          <w:color w:val="000000" w:themeColor="text1"/>
                          <w:sz w:val="18"/>
                          <w:szCs w:val="20"/>
                        </w:rPr>
                      </w:pPr>
                      <w:r>
                        <w:rPr>
                          <w:rFonts w:ascii="Arial" w:hAnsi="Arial" w:cs="Arial"/>
                          <w:color w:val="000000" w:themeColor="text1"/>
                          <w:sz w:val="18"/>
                          <w:szCs w:val="20"/>
                        </w:rPr>
                        <w:t>Reason 3: wrong outcome (n = 1</w:t>
                      </w:r>
                      <w:r w:rsidR="001F508F">
                        <w:rPr>
                          <w:rFonts w:ascii="Arial" w:hAnsi="Arial" w:cs="Arial"/>
                          <w:color w:val="000000" w:themeColor="text1"/>
                          <w:sz w:val="18"/>
                          <w:szCs w:val="20"/>
                        </w:rPr>
                        <w:t>2</w:t>
                      </w:r>
                      <w:r>
                        <w:rPr>
                          <w:rFonts w:ascii="Arial" w:hAnsi="Arial" w:cs="Arial"/>
                          <w:color w:val="000000" w:themeColor="text1"/>
                          <w:sz w:val="18"/>
                          <w:szCs w:val="20"/>
                        </w:rPr>
                        <w:t>)</w:t>
                      </w:r>
                    </w:p>
                    <w:p w14:paraId="039993C2" w14:textId="77777777" w:rsidR="005426EF" w:rsidRPr="00560609" w:rsidRDefault="005426EF" w:rsidP="005426EF">
                      <w:pPr>
                        <w:ind w:left="284"/>
                        <w:rPr>
                          <w:rFonts w:ascii="Arial" w:hAnsi="Arial" w:cs="Arial"/>
                          <w:color w:val="000000" w:themeColor="text1"/>
                          <w:sz w:val="18"/>
                          <w:szCs w:val="20"/>
                        </w:rPr>
                      </w:pPr>
                    </w:p>
                  </w:txbxContent>
                </v:textbox>
              </v:rect>
            </w:pict>
          </mc:Fallback>
        </mc:AlternateContent>
      </w:r>
    </w:p>
    <w:p w14:paraId="06AE8079" w14:textId="1B38A9D9" w:rsidR="005426EF" w:rsidRDefault="005426EF" w:rsidP="00447B30"/>
    <w:p w14:paraId="6F835E6C" w14:textId="77777777" w:rsidR="005426EF" w:rsidRDefault="005426EF" w:rsidP="00447B30"/>
    <w:p w14:paraId="1DCA457B" w14:textId="007D9C0C" w:rsidR="005426EF" w:rsidRDefault="005426EF" w:rsidP="00447B30">
      <w:r>
        <w:rPr>
          <w:noProof/>
        </w:rPr>
        <mc:AlternateContent>
          <mc:Choice Requires="wps">
            <w:drawing>
              <wp:anchor distT="0" distB="0" distL="114300" distR="114300" simplePos="0" relativeHeight="251685888" behindDoc="0" locked="0" layoutInCell="1" allowOverlap="1" wp14:anchorId="4798333E" wp14:editId="6DD83A12">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982B0D" id="Straight Arrow Connector 19" o:spid="_x0000_s1026" type="#_x0000_t32" style="position:absolute;margin-left:110.3pt;margin-top:2.35pt;width:0;height:5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73D8370E" w14:textId="77777777" w:rsidR="005426EF" w:rsidRDefault="005426EF" w:rsidP="00447B30"/>
    <w:p w14:paraId="48C4F6D7" w14:textId="77777777" w:rsidR="005426EF" w:rsidRDefault="005426EF" w:rsidP="00447B30"/>
    <w:p w14:paraId="473E7F88" w14:textId="77777777" w:rsidR="005426EF" w:rsidRDefault="005426EF" w:rsidP="00447B30"/>
    <w:p w14:paraId="43AF4DB0" w14:textId="77777777" w:rsidR="005426EF" w:rsidRDefault="005426EF" w:rsidP="00447B30">
      <w:r w:rsidRPr="00560609">
        <w:rPr>
          <w:noProof/>
        </w:rPr>
        <mc:AlternateContent>
          <mc:Choice Requires="wps">
            <w:drawing>
              <wp:anchor distT="0" distB="0" distL="114300" distR="114300" simplePos="0" relativeHeight="251670528" behindDoc="0" locked="0" layoutInCell="1" allowOverlap="1" wp14:anchorId="5DAD6B8F" wp14:editId="61044821">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63ABD" w14:textId="4A4BC0D2" w:rsidR="005426EF" w:rsidRDefault="005426EF" w:rsidP="005426EF">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10C84685" w14:textId="527F94B5" w:rsidR="005426EF" w:rsidRDefault="005426EF" w:rsidP="005426EF">
                            <w:pPr>
                              <w:rPr>
                                <w:rFonts w:ascii="Arial" w:hAnsi="Arial" w:cs="Arial"/>
                                <w:color w:val="000000" w:themeColor="text1"/>
                                <w:sz w:val="18"/>
                                <w:szCs w:val="20"/>
                              </w:rPr>
                            </w:pPr>
                            <w:r>
                              <w:rPr>
                                <w:rFonts w:ascii="Arial" w:hAnsi="Arial" w:cs="Arial"/>
                                <w:color w:val="000000" w:themeColor="text1"/>
                                <w:sz w:val="18"/>
                                <w:szCs w:val="20"/>
                              </w:rPr>
                              <w:t xml:space="preserve">(n = </w:t>
                            </w:r>
                            <w:r w:rsidR="001F508F">
                              <w:rPr>
                                <w:rFonts w:ascii="Arial" w:hAnsi="Arial" w:cs="Arial"/>
                                <w:color w:val="000000" w:themeColor="text1"/>
                                <w:sz w:val="18"/>
                                <w:szCs w:val="20"/>
                              </w:rPr>
                              <w:t>8</w:t>
                            </w:r>
                            <w:r>
                              <w:rPr>
                                <w:rFonts w:ascii="Arial" w:hAnsi="Arial" w:cs="Arial"/>
                                <w:color w:val="000000" w:themeColor="text1"/>
                                <w:sz w:val="18"/>
                                <w:szCs w:val="20"/>
                              </w:rPr>
                              <w:t>)</w:t>
                            </w:r>
                          </w:p>
                          <w:p w14:paraId="122061AE" w14:textId="586E9AB1" w:rsidR="005426EF" w:rsidRPr="00560609" w:rsidRDefault="005426EF" w:rsidP="005426EF">
                            <w:pP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D6B8F" id="Rectangle 13" o:spid="_x0000_s1037" style="position:absolute;margin-left:42.55pt;margin-top:8.7pt;width:148.6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35C63ABD" w14:textId="4A4BC0D2" w:rsidR="005426EF" w:rsidRDefault="005426EF" w:rsidP="005426EF">
                      <w:pPr>
                        <w:rPr>
                          <w:rFonts w:ascii="Arial" w:hAnsi="Arial" w:cs="Arial"/>
                          <w:color w:val="000000" w:themeColor="text1"/>
                          <w:sz w:val="18"/>
                          <w:szCs w:val="20"/>
                        </w:rPr>
                      </w:pPr>
                      <w:r>
                        <w:rPr>
                          <w:rFonts w:ascii="Arial" w:hAnsi="Arial" w:cs="Arial"/>
                          <w:color w:val="000000" w:themeColor="text1"/>
                          <w:sz w:val="18"/>
                          <w:szCs w:val="20"/>
                        </w:rPr>
                        <w:t>Studies included in review.</w:t>
                      </w:r>
                    </w:p>
                    <w:p w14:paraId="10C84685" w14:textId="527F94B5" w:rsidR="005426EF" w:rsidRDefault="005426EF" w:rsidP="005426EF">
                      <w:pPr>
                        <w:rPr>
                          <w:rFonts w:ascii="Arial" w:hAnsi="Arial" w:cs="Arial"/>
                          <w:color w:val="000000" w:themeColor="text1"/>
                          <w:sz w:val="18"/>
                          <w:szCs w:val="20"/>
                        </w:rPr>
                      </w:pPr>
                      <w:r>
                        <w:rPr>
                          <w:rFonts w:ascii="Arial" w:hAnsi="Arial" w:cs="Arial"/>
                          <w:color w:val="000000" w:themeColor="text1"/>
                          <w:sz w:val="18"/>
                          <w:szCs w:val="20"/>
                        </w:rPr>
                        <w:t xml:space="preserve">(n = </w:t>
                      </w:r>
                      <w:r w:rsidR="001F508F">
                        <w:rPr>
                          <w:rFonts w:ascii="Arial" w:hAnsi="Arial" w:cs="Arial"/>
                          <w:color w:val="000000" w:themeColor="text1"/>
                          <w:sz w:val="18"/>
                          <w:szCs w:val="20"/>
                        </w:rPr>
                        <w:t>8</w:t>
                      </w:r>
                      <w:r>
                        <w:rPr>
                          <w:rFonts w:ascii="Arial" w:hAnsi="Arial" w:cs="Arial"/>
                          <w:color w:val="000000" w:themeColor="text1"/>
                          <w:sz w:val="18"/>
                          <w:szCs w:val="20"/>
                        </w:rPr>
                        <w:t>)</w:t>
                      </w:r>
                    </w:p>
                    <w:p w14:paraId="122061AE" w14:textId="586E9AB1" w:rsidR="005426EF" w:rsidRPr="00560609" w:rsidRDefault="005426EF" w:rsidP="005426EF">
                      <w:pPr>
                        <w:rPr>
                          <w:rFonts w:ascii="Arial" w:hAnsi="Arial" w:cs="Arial"/>
                          <w:color w:val="000000" w:themeColor="text1"/>
                          <w:sz w:val="18"/>
                          <w:szCs w:val="20"/>
                        </w:rPr>
                      </w:pPr>
                    </w:p>
                  </w:txbxContent>
                </v:textbox>
              </v:rect>
            </w:pict>
          </mc:Fallback>
        </mc:AlternateContent>
      </w:r>
    </w:p>
    <w:p w14:paraId="37442524" w14:textId="77777777" w:rsidR="005426EF" w:rsidRDefault="005426EF" w:rsidP="00447B30">
      <w:r>
        <w:rPr>
          <w:noProof/>
        </w:rPr>
        <mc:AlternateContent>
          <mc:Choice Requires="wps">
            <w:drawing>
              <wp:anchor distT="0" distB="0" distL="114300" distR="114300" simplePos="0" relativeHeight="251680768" behindDoc="0" locked="0" layoutInCell="1" allowOverlap="1" wp14:anchorId="7C500B80" wp14:editId="25D634D3">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F4FF9CB" w14:textId="77777777" w:rsidR="005426EF" w:rsidRPr="001502CF" w:rsidRDefault="005426EF" w:rsidP="005426EF">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00B80" id="Flowchart: Alternate Process 33" o:spid="_x0000_s1038" type="#_x0000_t176" style="position:absolute;margin-left:-10.5pt;margin-top:13.45pt;width:60.2pt;height:20.7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ZMN+VbICAAD7BQAADgAA&#10;AAAAAAAAAAAAAAAuAgAAZHJzL2Uyb0RvYy54bWxQSwECLQAUAAYACAAAACEA0lp8g9wAAAAJAQAA&#10;DwAAAAAAAAAAAAAAAAAMBQAAZHJzL2Rvd25yZXYueG1sUEsFBgAAAAAEAAQA8wAAABUGAAAAAA==&#10;" fillcolor="#d86dcb [1944]" strokecolor="black [3213]" strokeweight="1pt">
                <v:textbox>
                  <w:txbxContent>
                    <w:p w14:paraId="7F4FF9CB" w14:textId="77777777" w:rsidR="005426EF" w:rsidRPr="001502CF" w:rsidRDefault="005426EF" w:rsidP="005426EF">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C51A580" w14:textId="77777777" w:rsidR="005426EF" w:rsidRDefault="005426EF" w:rsidP="00447B30"/>
    <w:p w14:paraId="73470E04" w14:textId="77777777" w:rsidR="005426EF" w:rsidRDefault="005426EF" w:rsidP="005426EF"/>
    <w:p w14:paraId="2E5D4A01" w14:textId="4E018042" w:rsidR="005426EF" w:rsidRDefault="005426EF" w:rsidP="00037DC5">
      <w:pPr>
        <w:pStyle w:val="CommentText"/>
        <w:spacing w:before="120" w:after="0"/>
        <w:rPr>
          <w:rFonts w:ascii="Arial" w:hAnsi="Arial" w:cs="Arial"/>
          <w:sz w:val="18"/>
          <w:szCs w:val="18"/>
        </w:rPr>
      </w:pPr>
    </w:p>
    <w:p w14:paraId="51BD95F2" w14:textId="4BECE559" w:rsidR="00615C00" w:rsidRPr="00F6018D" w:rsidRDefault="005426EF" w:rsidP="00037DC5">
      <w:pPr>
        <w:spacing w:line="480" w:lineRule="auto"/>
        <w:rPr>
          <w:rStyle w:val="Hyperlink"/>
          <w:rFonts w:ascii="Arial" w:hAnsi="Arial" w:cs="Arial"/>
          <w:sz w:val="18"/>
          <w:szCs w:val="18"/>
        </w:rPr>
      </w:pPr>
      <w:r w:rsidRPr="00E00A7E">
        <w:rPr>
          <w:rFonts w:ascii="Arial" w:hAnsi="Arial" w:cs="Arial"/>
          <w:i/>
          <w:iCs/>
          <w:sz w:val="18"/>
          <w:szCs w:val="18"/>
        </w:rPr>
        <w:t xml:space="preserve">From: </w:t>
      </w:r>
      <w:r w:rsidRPr="00E00A7E">
        <w:rPr>
          <w:rFonts w:ascii="Arial" w:hAnsi="Arial" w:cs="Arial"/>
          <w:sz w:val="18"/>
          <w:szCs w:val="18"/>
        </w:rPr>
        <w:t xml:space="preserve"> Page MJ, McKenzie JE, Bossuyt PM, </w:t>
      </w:r>
      <w:proofErr w:type="spellStart"/>
      <w:r w:rsidRPr="00E00A7E">
        <w:rPr>
          <w:rFonts w:ascii="Arial" w:hAnsi="Arial" w:cs="Arial"/>
          <w:sz w:val="18"/>
          <w:szCs w:val="18"/>
        </w:rPr>
        <w:t>Boutron</w:t>
      </w:r>
      <w:proofErr w:type="spellEnd"/>
      <w:r w:rsidRPr="00E00A7E">
        <w:rPr>
          <w:rFonts w:ascii="Arial" w:hAnsi="Arial" w:cs="Arial"/>
          <w:sz w:val="18"/>
          <w:szCs w:val="18"/>
        </w:rPr>
        <w:t xml:space="preserve"> I, Hoffmann TC, Mulrow CD, et al. The PRISMA 2020 statement: an updated guideline for reporting systematic reviews. BMJ 2021;</w:t>
      </w:r>
      <w:proofErr w:type="gramStart"/>
      <w:r w:rsidRPr="00E00A7E">
        <w:rPr>
          <w:rFonts w:ascii="Arial" w:hAnsi="Arial" w:cs="Arial"/>
          <w:sz w:val="18"/>
          <w:szCs w:val="18"/>
        </w:rPr>
        <w:t>372:n</w:t>
      </w:r>
      <w:proofErr w:type="gramEnd"/>
      <w:r w:rsidRPr="00E00A7E">
        <w:rPr>
          <w:rFonts w:ascii="Arial" w:hAnsi="Arial" w:cs="Arial"/>
          <w:sz w:val="18"/>
          <w:szCs w:val="18"/>
        </w:rPr>
        <w:t xml:space="preserve">71. </w:t>
      </w:r>
      <w:proofErr w:type="spellStart"/>
      <w:r w:rsidRPr="00E00A7E">
        <w:rPr>
          <w:rFonts w:ascii="Arial" w:hAnsi="Arial" w:cs="Arial"/>
          <w:sz w:val="18"/>
          <w:szCs w:val="18"/>
        </w:rPr>
        <w:t>doi</w:t>
      </w:r>
      <w:proofErr w:type="spellEnd"/>
      <w:r w:rsidRPr="00E00A7E">
        <w:rPr>
          <w:rFonts w:ascii="Arial" w:hAnsi="Arial" w:cs="Arial"/>
          <w:sz w:val="18"/>
          <w:szCs w:val="18"/>
        </w:rPr>
        <w:t>: 10.1136/</w:t>
      </w:r>
      <w:proofErr w:type="gramStart"/>
      <w:r w:rsidRPr="00E00A7E">
        <w:rPr>
          <w:rFonts w:ascii="Arial" w:hAnsi="Arial" w:cs="Arial"/>
          <w:sz w:val="18"/>
          <w:szCs w:val="18"/>
        </w:rPr>
        <w:t>bmj.n</w:t>
      </w:r>
      <w:proofErr w:type="gramEnd"/>
      <w:r w:rsidRPr="00E00A7E">
        <w:rPr>
          <w:rFonts w:ascii="Arial" w:hAnsi="Arial" w:cs="Arial"/>
          <w:sz w:val="18"/>
          <w:szCs w:val="18"/>
        </w:rPr>
        <w:t>71</w:t>
      </w:r>
      <w:r>
        <w:rPr>
          <w:rFonts w:ascii="Arial" w:hAnsi="Arial" w:cs="Arial"/>
          <w:sz w:val="18"/>
          <w:szCs w:val="18"/>
        </w:rPr>
        <w:t xml:space="preserve">. </w:t>
      </w:r>
      <w:r w:rsidRPr="00E00A7E">
        <w:rPr>
          <w:rFonts w:ascii="Arial" w:hAnsi="Arial" w:cs="Arial"/>
          <w:color w:val="333399"/>
          <w:sz w:val="18"/>
          <w:szCs w:val="18"/>
        </w:rPr>
        <w:t>For more information, visit:</w:t>
      </w:r>
      <w:r w:rsidRPr="00F55672">
        <w:rPr>
          <w:rFonts w:ascii="Arial" w:hAnsi="Arial" w:cs="Arial"/>
          <w:sz w:val="18"/>
          <w:szCs w:val="18"/>
        </w:rPr>
        <w:t xml:space="preserve"> </w:t>
      </w:r>
      <w:hyperlink r:id="rId8" w:history="1">
        <w:r w:rsidRPr="00F55672">
          <w:rPr>
            <w:rStyle w:val="Hyperlink"/>
            <w:rFonts w:ascii="Arial" w:hAnsi="Arial" w:cs="Arial"/>
            <w:sz w:val="18"/>
            <w:szCs w:val="18"/>
          </w:rPr>
          <w:t>http://www.prisma-statement.org/</w:t>
        </w:r>
      </w:hyperlink>
    </w:p>
    <w:p w14:paraId="6C3EC611" w14:textId="77777777" w:rsidR="009A687A" w:rsidRPr="00F43D76" w:rsidRDefault="009A687A" w:rsidP="00037DC5">
      <w:pPr>
        <w:spacing w:line="480" w:lineRule="auto"/>
        <w:rPr>
          <w:b/>
          <w:bCs/>
          <w:i/>
          <w:iCs/>
        </w:rPr>
      </w:pPr>
      <w:r w:rsidRPr="00F43D76">
        <w:rPr>
          <w:b/>
          <w:bCs/>
          <w:i/>
          <w:iCs/>
        </w:rPr>
        <w:t>Interventions</w:t>
      </w:r>
    </w:p>
    <w:p w14:paraId="574F96BC" w14:textId="614A866A" w:rsidR="004D0BBF" w:rsidRDefault="004D0BBF" w:rsidP="004D0BBF">
      <w:pPr>
        <w:spacing w:line="480" w:lineRule="auto"/>
        <w:ind w:firstLine="720"/>
      </w:pPr>
      <w:r>
        <w:t>In the</w:t>
      </w:r>
      <w:r w:rsidR="009A687A">
        <w:t xml:space="preserve"> studies that met the inclusion criteria, there were </w:t>
      </w:r>
      <w:r>
        <w:t>twelve</w:t>
      </w:r>
      <w:r w:rsidR="009A687A">
        <w:t xml:space="preserve"> different interventions identified. The interventions</w:t>
      </w:r>
      <w:r w:rsidR="00C46990">
        <w:t xml:space="preserve"> focused on dressing, grooming, toileting, meal preparation, safety, education, social participation, health management, home management, financial management, community mobility, and care of others. </w:t>
      </w:r>
      <w:r w:rsidR="009A687A">
        <w:t>In reviewing the articles included</w:t>
      </w:r>
      <w:r w:rsidR="00F21D65">
        <w:t>,</w:t>
      </w:r>
      <w:r w:rsidR="00C46990">
        <w:t xml:space="preserve"> there was no predominant ADL or IADL </w:t>
      </w:r>
      <w:r>
        <w:t>shown between the articles. The most frequent OTPF-4 connections were safety, social participation, financial management, and community mobility. The other intervention focuse</w:t>
      </w:r>
      <w:r w:rsidR="00C06F90">
        <w:t>d o</w:t>
      </w:r>
      <w:r>
        <w:t xml:space="preserve">n </w:t>
      </w:r>
      <w:r w:rsidR="00C06F90">
        <w:t xml:space="preserve">in </w:t>
      </w:r>
      <w:r>
        <w:t xml:space="preserve">the OTPF-4 identified in the articles included can be found in Chart 2. </w:t>
      </w:r>
    </w:p>
    <w:p w14:paraId="4D7A9919" w14:textId="51D0EE37" w:rsidR="009B1279" w:rsidRPr="004D0BBF" w:rsidRDefault="009B1279" w:rsidP="004D0BBF">
      <w:pPr>
        <w:spacing w:line="480" w:lineRule="auto"/>
      </w:pPr>
      <w:r w:rsidRPr="009B1279">
        <w:rPr>
          <w:b/>
          <w:bCs/>
        </w:rPr>
        <w:t xml:space="preserve">Chart 2. </w:t>
      </w:r>
    </w:p>
    <w:p w14:paraId="51B1C8DF" w14:textId="10339DBD" w:rsidR="009B1279" w:rsidRPr="009B1279" w:rsidRDefault="009B1279" w:rsidP="009B1279">
      <w:pPr>
        <w:spacing w:line="480" w:lineRule="auto"/>
        <w:rPr>
          <w:i/>
          <w:iCs/>
        </w:rPr>
      </w:pPr>
      <w:r>
        <w:rPr>
          <w:i/>
          <w:iCs/>
        </w:rPr>
        <w:t>Focus on Interventions in Relation to the OTPF-4</w:t>
      </w:r>
    </w:p>
    <w:p w14:paraId="27649C89" w14:textId="52EC819A" w:rsidR="009B1279" w:rsidRDefault="004D0BBF" w:rsidP="00305B6F">
      <w:pPr>
        <w:spacing w:line="480" w:lineRule="auto"/>
        <w:ind w:firstLine="720"/>
        <w:jc w:val="both"/>
      </w:pPr>
      <w:r>
        <w:rPr>
          <w:noProof/>
        </w:rPr>
        <w:lastRenderedPageBreak/>
        <mc:AlternateContent>
          <mc:Choice Requires="wps">
            <w:drawing>
              <wp:anchor distT="0" distB="0" distL="114300" distR="114300" simplePos="0" relativeHeight="251686912" behindDoc="0" locked="0" layoutInCell="1" allowOverlap="1" wp14:anchorId="7B742100" wp14:editId="5B48E87F">
                <wp:simplePos x="0" y="0"/>
                <wp:positionH relativeFrom="column">
                  <wp:posOffset>2629666</wp:posOffset>
                </wp:positionH>
                <wp:positionV relativeFrom="paragraph">
                  <wp:posOffset>2471711</wp:posOffset>
                </wp:positionV>
                <wp:extent cx="140773" cy="141212"/>
                <wp:effectExtent l="0" t="0" r="12065" b="11430"/>
                <wp:wrapNone/>
                <wp:docPr id="1168531418" name="Rectangle 1"/>
                <wp:cNvGraphicFramePr/>
                <a:graphic xmlns:a="http://schemas.openxmlformats.org/drawingml/2006/main">
                  <a:graphicData uri="http://schemas.microsoft.com/office/word/2010/wordprocessingShape">
                    <wps:wsp>
                      <wps:cNvSpPr/>
                      <wps:spPr>
                        <a:xfrm>
                          <a:off x="0" y="0"/>
                          <a:ext cx="140773" cy="141212"/>
                        </a:xfrm>
                        <a:prstGeom prst="rect">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CA83B" id="Rectangle 1" o:spid="_x0000_s1026" style="position:absolute;margin-left:207.05pt;margin-top:194.6pt;width:11.1pt;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" fillcolor="#d86dcb [1944]" strokecolor="#030e13 [484]" strokeweight="1pt"/>
            </w:pict>
          </mc:Fallback>
        </mc:AlternateContent>
      </w:r>
      <w:r w:rsidR="00305B6F">
        <w:rPr>
          <w:noProof/>
        </w:rPr>
        <mc:AlternateContent>
          <mc:Choice Requires="wps">
            <w:drawing>
              <wp:anchor distT="0" distB="0" distL="114300" distR="114300" simplePos="0" relativeHeight="251687936" behindDoc="0" locked="0" layoutInCell="1" allowOverlap="1" wp14:anchorId="1DFA9E98" wp14:editId="45A1C03B">
                <wp:simplePos x="0" y="0"/>
                <wp:positionH relativeFrom="column">
                  <wp:posOffset>3379611</wp:posOffset>
                </wp:positionH>
                <wp:positionV relativeFrom="paragraph">
                  <wp:posOffset>2460295</wp:posOffset>
                </wp:positionV>
                <wp:extent cx="141402" cy="141402"/>
                <wp:effectExtent l="0" t="0" r="11430" b="11430"/>
                <wp:wrapNone/>
                <wp:docPr id="1113472520" name="Rectangle 2"/>
                <wp:cNvGraphicFramePr/>
                <a:graphic xmlns:a="http://schemas.openxmlformats.org/drawingml/2006/main">
                  <a:graphicData uri="http://schemas.microsoft.com/office/word/2010/wordprocessingShape">
                    <wps:wsp>
                      <wps:cNvSpPr/>
                      <wps:spPr>
                        <a:xfrm flipV="1">
                          <a:off x="0" y="0"/>
                          <a:ext cx="141402" cy="1414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8D451" id="Rectangle 2" o:spid="_x0000_s1026" style="position:absolute;margin-left:266.1pt;margin-top:193.7pt;width:11.15pt;height:11.1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" fillcolor="#156082 [3204]" strokecolor="#030e13 [484]" strokeweight="1pt"/>
            </w:pict>
          </mc:Fallback>
        </mc:AlternateContent>
      </w:r>
      <w:r w:rsidR="009B1279">
        <w:rPr>
          <w:noProof/>
        </w:rPr>
        <w:drawing>
          <wp:inline distT="0" distB="0" distL="0" distR="0" wp14:anchorId="64C85C31" wp14:editId="31ED464C">
            <wp:extent cx="4341655" cy="2778100"/>
            <wp:effectExtent l="0" t="0" r="1905" b="3810"/>
            <wp:docPr id="1980982266" name="Chart 1">
              <a:extLst xmlns:a="http://schemas.openxmlformats.org/drawingml/2006/main">
                <a:ext uri="{FF2B5EF4-FFF2-40B4-BE49-F238E27FC236}">
                  <a16:creationId xmlns:a16="http://schemas.microsoft.com/office/drawing/2014/main" id="{142BE581-ADCF-BCCF-6023-28F694592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61878C" w14:textId="0117A6D7" w:rsidR="00A162FF" w:rsidRDefault="00A162FF" w:rsidP="00A162FF">
      <w:pPr>
        <w:spacing w:line="480" w:lineRule="auto"/>
        <w:rPr>
          <w:b/>
          <w:bCs/>
          <w:i/>
          <w:iCs/>
        </w:rPr>
      </w:pPr>
      <w:r w:rsidRPr="00A162FF">
        <w:rPr>
          <w:b/>
          <w:bCs/>
          <w:i/>
          <w:iCs/>
        </w:rPr>
        <w:t xml:space="preserve">Parents Perspectives </w:t>
      </w:r>
    </w:p>
    <w:p w14:paraId="0A8E3901" w14:textId="65764A98" w:rsidR="009B09D1" w:rsidRDefault="00A162FF" w:rsidP="003825F6">
      <w:pPr>
        <w:spacing w:line="480" w:lineRule="auto"/>
      </w:pPr>
      <w:r>
        <w:tab/>
        <w:t xml:space="preserve">In addition to the OTPF-4 relations in the included articles, the parents’ perspectives were a main aspect </w:t>
      </w:r>
      <w:r w:rsidR="001C3978">
        <w:t xml:space="preserve">in reporting how the young adults with IDD performed in ADLs and IADLs. </w:t>
      </w:r>
      <w:r w:rsidR="007C6915">
        <w:t xml:space="preserve">The parents reported on how their child was progressing toward independence in household tasks utilizing the Children Helping Out: Responsibilities, Expectations, and Support (CHORES). </w:t>
      </w:r>
      <w:r w:rsidR="00F21D65">
        <w:t xml:space="preserve">CHORES is </w:t>
      </w:r>
      <w:r w:rsidR="002440A9">
        <w:t>a 34-item</w:t>
      </w:r>
      <w:r w:rsidR="00F21D65">
        <w:t xml:space="preserve"> questionnaire designed to determine the level of performance and assistance level in completing household chores (Harr et al., 2011). </w:t>
      </w:r>
      <w:r w:rsidR="003825F6">
        <w:t xml:space="preserve">The articles that utilize CHORES can be found in Table 1. </w:t>
      </w:r>
    </w:p>
    <w:p w14:paraId="3980293C" w14:textId="6684A239" w:rsidR="00807D60" w:rsidRPr="00C31F14" w:rsidRDefault="00807D60" w:rsidP="003825F6">
      <w:pPr>
        <w:spacing w:line="480" w:lineRule="auto"/>
        <w:rPr>
          <w:b/>
          <w:bCs/>
          <w:i/>
          <w:iCs/>
        </w:rPr>
      </w:pPr>
      <w:r w:rsidRPr="00C31F14">
        <w:rPr>
          <w:b/>
          <w:bCs/>
          <w:i/>
          <w:iCs/>
        </w:rPr>
        <w:t xml:space="preserve">Findings </w:t>
      </w:r>
    </w:p>
    <w:p w14:paraId="64EEFFF7" w14:textId="0BE7F228" w:rsidR="00332AC4" w:rsidRDefault="00807D60" w:rsidP="00D709BC">
      <w:pPr>
        <w:pStyle w:val="NormalWeb"/>
        <w:kinsoku w:val="0"/>
        <w:overflowPunct w:val="0"/>
        <w:spacing w:before="0" w:beforeAutospacing="0" w:after="0" w:afterAutospacing="0" w:line="480" w:lineRule="auto"/>
        <w:ind w:firstLine="720"/>
        <w:textAlignment w:val="baseline"/>
        <w:rPr>
          <w:rStyle w:val="Hyperlink"/>
          <w:color w:val="auto"/>
          <w:u w:val="none"/>
        </w:rPr>
      </w:pPr>
      <w:r>
        <w:rPr>
          <w:rStyle w:val="Hyperlink"/>
          <w:color w:val="auto"/>
          <w:u w:val="none"/>
        </w:rPr>
        <w:t>In the</w:t>
      </w:r>
      <w:r w:rsidR="002440A9">
        <w:rPr>
          <w:rStyle w:val="Hyperlink"/>
          <w:color w:val="auto"/>
          <w:u w:val="none"/>
        </w:rPr>
        <w:t xml:space="preserve"> findings of the included articles in this revie</w:t>
      </w:r>
      <w:r w:rsidR="00747726">
        <w:rPr>
          <w:rStyle w:val="Hyperlink"/>
          <w:color w:val="auto"/>
          <w:u w:val="none"/>
        </w:rPr>
        <w:t>w,</w:t>
      </w:r>
      <w:r w:rsidR="002440A9">
        <w:rPr>
          <w:rStyle w:val="Hyperlink"/>
          <w:color w:val="auto"/>
          <w:u w:val="none"/>
        </w:rPr>
        <w:t xml:space="preserve"> </w:t>
      </w:r>
      <w:r>
        <w:rPr>
          <w:rStyle w:val="Hyperlink"/>
          <w:color w:val="auto"/>
          <w:u w:val="none"/>
        </w:rPr>
        <w:t xml:space="preserve">there were more IADLs </w:t>
      </w:r>
      <w:r w:rsidR="00FD1F58">
        <w:rPr>
          <w:rStyle w:val="Hyperlink"/>
          <w:color w:val="auto"/>
          <w:u w:val="none"/>
        </w:rPr>
        <w:t xml:space="preserve">identified </w:t>
      </w:r>
      <w:r>
        <w:rPr>
          <w:rStyle w:val="Hyperlink"/>
          <w:color w:val="auto"/>
          <w:u w:val="none"/>
        </w:rPr>
        <w:t>than ADLs</w:t>
      </w:r>
      <w:r w:rsidR="004D0BBF">
        <w:rPr>
          <w:rStyle w:val="Hyperlink"/>
          <w:color w:val="auto"/>
          <w:u w:val="none"/>
        </w:rPr>
        <w:t xml:space="preserve"> </w:t>
      </w:r>
      <w:r w:rsidR="00C31F14">
        <w:rPr>
          <w:rStyle w:val="Hyperlink"/>
          <w:color w:val="auto"/>
          <w:u w:val="none"/>
        </w:rPr>
        <w:t xml:space="preserve">as the focus of the interventions for individuals with IDD. </w:t>
      </w:r>
      <w:r w:rsidR="00FD1F58">
        <w:rPr>
          <w:rStyle w:val="Hyperlink"/>
          <w:color w:val="auto"/>
          <w:u w:val="none"/>
        </w:rPr>
        <w:t xml:space="preserve">The articles yielded did not include significant evidence for all components described in the OTPF-4. </w:t>
      </w:r>
      <w:r w:rsidR="00D709BC">
        <w:rPr>
          <w:rStyle w:val="Hyperlink"/>
          <w:color w:val="auto"/>
          <w:u w:val="none"/>
        </w:rPr>
        <w:t xml:space="preserve">The top OTPF-4 correlations found in the articles were community mobility, financial management, safety, and social participation. </w:t>
      </w:r>
      <w:r w:rsidR="00FD1F58">
        <w:rPr>
          <w:rStyle w:val="Hyperlink"/>
          <w:color w:val="auto"/>
          <w:u w:val="none"/>
        </w:rPr>
        <w:t xml:space="preserve">There was a common theme throughout the articles which was participation in tasks and activities. Additionally, due to the burden on families and caregivers, several articles </w:t>
      </w:r>
      <w:r w:rsidR="00FD1F58">
        <w:rPr>
          <w:rStyle w:val="Hyperlink"/>
          <w:color w:val="auto"/>
          <w:u w:val="none"/>
        </w:rPr>
        <w:lastRenderedPageBreak/>
        <w:t xml:space="preserve">focused on strategies to minimize the burden </w:t>
      </w:r>
      <w:r w:rsidR="00747726">
        <w:rPr>
          <w:rStyle w:val="Hyperlink"/>
          <w:color w:val="auto"/>
          <w:u w:val="none"/>
        </w:rPr>
        <w:t>of</w:t>
      </w:r>
      <w:r w:rsidR="00FD1F58">
        <w:rPr>
          <w:rStyle w:val="Hyperlink"/>
          <w:color w:val="auto"/>
          <w:u w:val="none"/>
        </w:rPr>
        <w:t xml:space="preserve"> caring for young adults with IDD.  </w:t>
      </w:r>
      <w:r w:rsidR="00043194">
        <w:rPr>
          <w:rStyle w:val="Hyperlink"/>
          <w:color w:val="auto"/>
          <w:u w:val="none"/>
        </w:rPr>
        <w:t>Parents and caregivers were</w:t>
      </w:r>
      <w:r w:rsidR="00C31F14">
        <w:rPr>
          <w:rStyle w:val="Hyperlink"/>
          <w:color w:val="auto"/>
          <w:u w:val="none"/>
        </w:rPr>
        <w:t xml:space="preserve"> report</w:t>
      </w:r>
      <w:r w:rsidR="00043194">
        <w:rPr>
          <w:rStyle w:val="Hyperlink"/>
          <w:color w:val="auto"/>
          <w:u w:val="none"/>
        </w:rPr>
        <w:t>ing</w:t>
      </w:r>
      <w:r w:rsidR="00C31F14">
        <w:rPr>
          <w:rStyle w:val="Hyperlink"/>
          <w:color w:val="auto"/>
          <w:u w:val="none"/>
        </w:rPr>
        <w:t xml:space="preserve"> on the individuals with IDD participation</w:t>
      </w:r>
      <w:r w:rsidR="00D709BC">
        <w:rPr>
          <w:rStyle w:val="Hyperlink"/>
          <w:color w:val="auto"/>
          <w:u w:val="none"/>
        </w:rPr>
        <w:t xml:space="preserve"> and performance</w:t>
      </w:r>
      <w:r w:rsidR="00C31F14">
        <w:rPr>
          <w:rStyle w:val="Hyperlink"/>
          <w:color w:val="auto"/>
          <w:u w:val="none"/>
        </w:rPr>
        <w:t xml:space="preserve"> in IADLs and ADLs</w:t>
      </w:r>
      <w:r w:rsidR="00D709BC">
        <w:rPr>
          <w:rStyle w:val="Hyperlink"/>
          <w:color w:val="auto"/>
          <w:u w:val="none"/>
        </w:rPr>
        <w:t xml:space="preserve"> tasks. </w:t>
      </w:r>
    </w:p>
    <w:p w14:paraId="31A9EA26" w14:textId="51BE3040" w:rsidR="00D709BC" w:rsidRDefault="00D709BC" w:rsidP="00D709BC">
      <w:pPr>
        <w:pStyle w:val="NormalWeb"/>
        <w:kinsoku w:val="0"/>
        <w:overflowPunct w:val="0"/>
        <w:spacing w:before="0" w:beforeAutospacing="0" w:after="0" w:afterAutospacing="0" w:line="480" w:lineRule="auto"/>
        <w:ind w:firstLine="720"/>
        <w:textAlignment w:val="baseline"/>
        <w:rPr>
          <w:rStyle w:val="Hyperlink"/>
          <w:color w:val="auto"/>
          <w:u w:val="none"/>
        </w:rPr>
      </w:pPr>
      <w:r>
        <w:rPr>
          <w:rStyle w:val="Hyperlink"/>
          <w:color w:val="auto"/>
          <w:u w:val="none"/>
        </w:rPr>
        <w:t xml:space="preserve">Along with no predominant intervention focus found, there was no predominant diagnosis mentioned in the studies. The most prevalent diagnosis was autism spectrum disorder (ASD). </w:t>
      </w:r>
      <w:r w:rsidR="009715DA">
        <w:rPr>
          <w:rStyle w:val="Hyperlink"/>
          <w:color w:val="auto"/>
          <w:u w:val="none"/>
        </w:rPr>
        <w:t xml:space="preserve">Other diagnoses </w:t>
      </w:r>
      <w:r w:rsidR="002440A9">
        <w:rPr>
          <w:rStyle w:val="Hyperlink"/>
          <w:color w:val="auto"/>
          <w:u w:val="none"/>
        </w:rPr>
        <w:t xml:space="preserve">such as Down syndrome and spina bifida </w:t>
      </w:r>
      <w:r w:rsidR="009715DA">
        <w:rPr>
          <w:rStyle w:val="Hyperlink"/>
          <w:color w:val="auto"/>
          <w:u w:val="none"/>
        </w:rPr>
        <w:t xml:space="preserve">mentioned in the findings included in this scoping review can be found in Table 2. </w:t>
      </w:r>
    </w:p>
    <w:p w14:paraId="6BE01474" w14:textId="00B9CFA5" w:rsidR="00807D60" w:rsidRDefault="00332AC4" w:rsidP="003825F6">
      <w:pPr>
        <w:spacing w:line="480" w:lineRule="auto"/>
        <w:rPr>
          <w:rStyle w:val="Hyperlink"/>
          <w:b/>
          <w:bCs/>
          <w:color w:val="auto"/>
          <w:u w:val="none"/>
        </w:rPr>
      </w:pPr>
      <w:r w:rsidRPr="00332AC4">
        <w:rPr>
          <w:rStyle w:val="Hyperlink"/>
          <w:b/>
          <w:bCs/>
          <w:color w:val="auto"/>
          <w:u w:val="none"/>
        </w:rPr>
        <w:t xml:space="preserve">Discussion </w:t>
      </w:r>
      <w:r w:rsidR="00AB5E60" w:rsidRPr="00332AC4">
        <w:rPr>
          <w:rStyle w:val="Hyperlink"/>
          <w:b/>
          <w:bCs/>
          <w:color w:val="auto"/>
          <w:u w:val="none"/>
        </w:rPr>
        <w:t xml:space="preserve"> </w:t>
      </w:r>
    </w:p>
    <w:p w14:paraId="252DBB89" w14:textId="7937AA4A" w:rsidR="00D864A9" w:rsidRDefault="00D864A9" w:rsidP="003825F6">
      <w:pPr>
        <w:spacing w:line="480" w:lineRule="auto"/>
        <w:rPr>
          <w:rStyle w:val="Hyperlink"/>
          <w:color w:val="auto"/>
          <w:u w:val="none"/>
        </w:rPr>
      </w:pPr>
      <w:r>
        <w:rPr>
          <w:rStyle w:val="Hyperlink"/>
          <w:b/>
          <w:bCs/>
          <w:color w:val="auto"/>
          <w:u w:val="none"/>
        </w:rPr>
        <w:tab/>
      </w:r>
      <w:r>
        <w:rPr>
          <w:rStyle w:val="Hyperlink"/>
          <w:color w:val="auto"/>
          <w:u w:val="none"/>
        </w:rPr>
        <w:t>This scoping review revealed twelve correlations to the OTPF-4, emphasizing the focus of IADLs during interventions</w:t>
      </w:r>
      <w:r w:rsidR="00FD1F58">
        <w:rPr>
          <w:rStyle w:val="Hyperlink"/>
          <w:color w:val="auto"/>
          <w:u w:val="none"/>
        </w:rPr>
        <w:t xml:space="preserve">. </w:t>
      </w:r>
      <w:r>
        <w:rPr>
          <w:rStyle w:val="Hyperlink"/>
          <w:color w:val="auto"/>
          <w:u w:val="none"/>
        </w:rPr>
        <w:t>The occupation-based interventions mentioned the most were safety, social participation, financial management, and community mobility.</w:t>
      </w:r>
      <w:r w:rsidR="002D28D2" w:rsidRPr="002D28D2">
        <w:rPr>
          <w:rStyle w:val="Hyperlink"/>
          <w:color w:val="auto"/>
          <w:u w:val="none"/>
        </w:rPr>
        <w:t xml:space="preserve"> </w:t>
      </w:r>
      <w:r w:rsidR="002D28D2">
        <w:rPr>
          <w:rStyle w:val="Hyperlink"/>
          <w:color w:val="auto"/>
          <w:u w:val="none"/>
        </w:rPr>
        <w:t>The interventions used in the studies showed to aid increase independence in individuals with IDD. Articles had more of an emphasis on IADL tasks rather than ADL tasks which identifie</w:t>
      </w:r>
      <w:r w:rsidR="00C06F90">
        <w:rPr>
          <w:rStyle w:val="Hyperlink"/>
          <w:color w:val="auto"/>
          <w:u w:val="none"/>
        </w:rPr>
        <w:t>d</w:t>
      </w:r>
      <w:r w:rsidR="002D28D2">
        <w:rPr>
          <w:rStyle w:val="Hyperlink"/>
          <w:color w:val="auto"/>
          <w:u w:val="none"/>
        </w:rPr>
        <w:t xml:space="preserve"> a barrier in re</w:t>
      </w:r>
      <w:r w:rsidR="00C06F90">
        <w:rPr>
          <w:rStyle w:val="Hyperlink"/>
          <w:color w:val="auto"/>
          <w:u w:val="none"/>
        </w:rPr>
        <w:t>search</w:t>
      </w:r>
      <w:r w:rsidR="00B53C7F">
        <w:rPr>
          <w:rStyle w:val="Hyperlink"/>
          <w:color w:val="auto"/>
          <w:u w:val="none"/>
        </w:rPr>
        <w:t xml:space="preserve">. </w:t>
      </w:r>
      <w:r w:rsidR="00C06F90">
        <w:rPr>
          <w:rStyle w:val="Hyperlink"/>
          <w:color w:val="auto"/>
          <w:u w:val="none"/>
        </w:rPr>
        <w:t>due to not focusing on ADLs which play an essential role in</w:t>
      </w:r>
      <w:r w:rsidR="00612D86">
        <w:rPr>
          <w:rStyle w:val="Hyperlink"/>
          <w:color w:val="auto"/>
          <w:u w:val="none"/>
        </w:rPr>
        <w:t xml:space="preserve"> the independence of </w:t>
      </w:r>
      <w:r w:rsidR="00C06F90">
        <w:rPr>
          <w:rStyle w:val="Hyperlink"/>
          <w:color w:val="auto"/>
          <w:u w:val="none"/>
        </w:rPr>
        <w:t>individual</w:t>
      </w:r>
      <w:r w:rsidR="00612D86">
        <w:rPr>
          <w:rStyle w:val="Hyperlink"/>
          <w:color w:val="auto"/>
          <w:u w:val="none"/>
        </w:rPr>
        <w:t>s</w:t>
      </w:r>
      <w:r w:rsidR="00C06F90">
        <w:rPr>
          <w:rStyle w:val="Hyperlink"/>
          <w:color w:val="auto"/>
          <w:u w:val="none"/>
        </w:rPr>
        <w:t xml:space="preserve"> with IDD</w:t>
      </w:r>
      <w:r w:rsidR="002D28D2">
        <w:rPr>
          <w:rStyle w:val="Hyperlink"/>
          <w:color w:val="auto"/>
          <w:u w:val="none"/>
        </w:rPr>
        <w:t>.</w:t>
      </w:r>
      <w:r w:rsidR="00205CDE">
        <w:rPr>
          <w:rStyle w:val="Hyperlink"/>
          <w:color w:val="auto"/>
          <w:u w:val="none"/>
        </w:rPr>
        <w:t xml:space="preserve"> For individuals with </w:t>
      </w:r>
      <w:r w:rsidR="00612D86">
        <w:rPr>
          <w:rStyle w:val="Hyperlink"/>
          <w:color w:val="auto"/>
          <w:u w:val="none"/>
        </w:rPr>
        <w:t>IDD,</w:t>
      </w:r>
      <w:r w:rsidR="00205CDE">
        <w:rPr>
          <w:rStyle w:val="Hyperlink"/>
          <w:color w:val="auto"/>
          <w:u w:val="none"/>
        </w:rPr>
        <w:t xml:space="preserve"> being able to independently perform these tasks allows them to gain confidence in themselves</w:t>
      </w:r>
      <w:r w:rsidR="00F40F72">
        <w:rPr>
          <w:rStyle w:val="Hyperlink"/>
          <w:color w:val="auto"/>
          <w:u w:val="none"/>
        </w:rPr>
        <w:t xml:space="preserve"> and develop self-determination. Self-determination </w:t>
      </w:r>
      <w:r w:rsidR="001C7115">
        <w:rPr>
          <w:rStyle w:val="Hyperlink"/>
          <w:color w:val="auto"/>
          <w:u w:val="none"/>
        </w:rPr>
        <w:t>allows</w:t>
      </w:r>
      <w:r w:rsidR="00F40F72">
        <w:rPr>
          <w:rStyle w:val="Hyperlink"/>
          <w:color w:val="auto"/>
          <w:u w:val="none"/>
        </w:rPr>
        <w:t xml:space="preserve"> individuals with </w:t>
      </w:r>
      <w:r w:rsidR="001C7115">
        <w:rPr>
          <w:rStyle w:val="Hyperlink"/>
          <w:color w:val="auto"/>
          <w:u w:val="none"/>
        </w:rPr>
        <w:t>IDD</w:t>
      </w:r>
      <w:r w:rsidR="00F40F72">
        <w:rPr>
          <w:rStyle w:val="Hyperlink"/>
          <w:color w:val="auto"/>
          <w:u w:val="none"/>
        </w:rPr>
        <w:t xml:space="preserve"> to work on tasks that they tend to need more assistance in to increase their overall independence.</w:t>
      </w:r>
      <w:r w:rsidR="001C7115">
        <w:rPr>
          <w:rStyle w:val="Hyperlink"/>
          <w:color w:val="auto"/>
          <w:u w:val="none"/>
        </w:rPr>
        <w:t xml:space="preserve"> Confidence can also help individuals have the courage to ask for assistance when a task is challenging for them. </w:t>
      </w:r>
      <w:r w:rsidR="009715DA">
        <w:rPr>
          <w:rStyle w:val="Hyperlink"/>
          <w:color w:val="auto"/>
          <w:u w:val="none"/>
        </w:rPr>
        <w:t>From the findings included in this scoping review, there is a lack of research done on interventions that address ADLs. Articles addressed strategies to minimize the burden in caring for young adults with IDD but there are barriers in how to implement those strategies</w:t>
      </w:r>
      <w:r w:rsidR="00FF7A69">
        <w:rPr>
          <w:rStyle w:val="Hyperlink"/>
          <w:color w:val="auto"/>
          <w:u w:val="none"/>
        </w:rPr>
        <w:t xml:space="preserve"> to remain consistent in their ability to perform the tasks independently. The CHORES questionnaire revealed that individuals with IDD initially had </w:t>
      </w:r>
      <w:r w:rsidR="00FF7A69">
        <w:rPr>
          <w:rStyle w:val="Hyperlink"/>
          <w:color w:val="auto"/>
          <w:u w:val="none"/>
        </w:rPr>
        <w:lastRenderedPageBreak/>
        <w:t xml:space="preserve">increased scores but as time went on their scores decreased which </w:t>
      </w:r>
      <w:r w:rsidR="00F10496">
        <w:rPr>
          <w:rStyle w:val="Hyperlink"/>
          <w:color w:val="auto"/>
          <w:u w:val="none"/>
        </w:rPr>
        <w:t>created</w:t>
      </w:r>
      <w:r w:rsidR="00FF7A69">
        <w:rPr>
          <w:rStyle w:val="Hyperlink"/>
          <w:color w:val="auto"/>
          <w:u w:val="none"/>
        </w:rPr>
        <w:t xml:space="preserve"> barriers </w:t>
      </w:r>
      <w:r w:rsidR="00F10496">
        <w:rPr>
          <w:rStyle w:val="Hyperlink"/>
          <w:color w:val="auto"/>
          <w:u w:val="none"/>
        </w:rPr>
        <w:t>to</w:t>
      </w:r>
      <w:r w:rsidR="00FF7A69">
        <w:rPr>
          <w:rStyle w:val="Hyperlink"/>
          <w:color w:val="auto"/>
          <w:u w:val="none"/>
        </w:rPr>
        <w:t xml:space="preserve"> the effectiveness in the implementation of the household tasks.  </w:t>
      </w:r>
    </w:p>
    <w:p w14:paraId="20137250" w14:textId="5F455615" w:rsidR="005164EF" w:rsidRPr="00334D23" w:rsidRDefault="005164EF" w:rsidP="003825F6">
      <w:pPr>
        <w:spacing w:line="480" w:lineRule="auto"/>
        <w:rPr>
          <w:rStyle w:val="Hyperlink"/>
          <w:b/>
          <w:bCs/>
          <w:i/>
          <w:iCs/>
          <w:color w:val="auto"/>
          <w:u w:val="none"/>
        </w:rPr>
      </w:pPr>
      <w:r w:rsidRPr="00334D23">
        <w:rPr>
          <w:rStyle w:val="Hyperlink"/>
          <w:b/>
          <w:bCs/>
          <w:i/>
          <w:iCs/>
          <w:color w:val="auto"/>
          <w:u w:val="none"/>
        </w:rPr>
        <w:t>Limitations</w:t>
      </w:r>
    </w:p>
    <w:p w14:paraId="60A8C81C" w14:textId="2DAE4492" w:rsidR="00F43D76" w:rsidRPr="00A80237" w:rsidRDefault="005164EF" w:rsidP="00A80237">
      <w:pPr>
        <w:spacing w:line="480" w:lineRule="auto"/>
      </w:pPr>
      <w:r>
        <w:rPr>
          <w:rStyle w:val="Hyperlink"/>
          <w:color w:val="auto"/>
          <w:u w:val="none"/>
        </w:rPr>
        <w:t xml:space="preserve"> </w:t>
      </w:r>
      <w:r w:rsidR="00334D23">
        <w:rPr>
          <w:rStyle w:val="Hyperlink"/>
          <w:color w:val="auto"/>
          <w:u w:val="none"/>
        </w:rPr>
        <w:tab/>
        <w:t>This review was limited to adolescents and young adults with IDD which narrowed the findings. Even though interventions provide</w:t>
      </w:r>
      <w:r w:rsidR="00CB5A33">
        <w:rPr>
          <w:rStyle w:val="Hyperlink"/>
          <w:color w:val="auto"/>
          <w:u w:val="none"/>
        </w:rPr>
        <w:t>d</w:t>
      </w:r>
      <w:r w:rsidR="00334D23">
        <w:rPr>
          <w:rStyle w:val="Hyperlink"/>
          <w:color w:val="auto"/>
          <w:u w:val="none"/>
        </w:rPr>
        <w:t xml:space="preserve"> by other practitioners besides occupational therapists were </w:t>
      </w:r>
      <w:r w:rsidR="00CB5A33">
        <w:rPr>
          <w:rStyle w:val="Hyperlink"/>
          <w:color w:val="auto"/>
          <w:u w:val="none"/>
        </w:rPr>
        <w:t>included</w:t>
      </w:r>
      <w:r w:rsidR="00334D23">
        <w:rPr>
          <w:rStyle w:val="Hyperlink"/>
          <w:color w:val="auto"/>
          <w:u w:val="none"/>
        </w:rPr>
        <w:t>, the search terms only included occupational therapy</w:t>
      </w:r>
      <w:r w:rsidR="00CB5A33">
        <w:rPr>
          <w:rStyle w:val="Hyperlink"/>
          <w:color w:val="auto"/>
          <w:u w:val="none"/>
        </w:rPr>
        <w:t xml:space="preserve"> practitioners which could have limited access to all evidence. </w:t>
      </w:r>
    </w:p>
    <w:p w14:paraId="30D78164" w14:textId="38F41AAE" w:rsidR="00F43D76" w:rsidRDefault="00DA46D2" w:rsidP="00820BCB">
      <w:pPr>
        <w:spacing w:line="480" w:lineRule="auto"/>
        <w:rPr>
          <w:b/>
          <w:bCs/>
        </w:rPr>
      </w:pPr>
      <w:r>
        <w:rPr>
          <w:b/>
          <w:bCs/>
        </w:rPr>
        <w:t xml:space="preserve">Conclusions </w:t>
      </w:r>
    </w:p>
    <w:p w14:paraId="2706E045" w14:textId="337EA597" w:rsidR="00820BCB" w:rsidRDefault="00820BCB" w:rsidP="00820BCB">
      <w:pPr>
        <w:spacing w:line="480" w:lineRule="auto"/>
        <w:ind w:firstLine="720"/>
        <w:rPr>
          <w:rStyle w:val="Hyperlink"/>
          <w:color w:val="auto"/>
          <w:u w:val="none"/>
        </w:rPr>
      </w:pPr>
      <w:r>
        <w:rPr>
          <w:rStyle w:val="Hyperlink"/>
          <w:color w:val="auto"/>
          <w:u w:val="none"/>
        </w:rPr>
        <w:t>Occupational therapists can play an essential role in helping individuals with IDD gain independence in performing tasks they must do, need to do, and want to do by identifying ways to adapt or modify an activity so that their clients can perform tasks independently (Berg et al., 2017; Waldman-Levi et al., 2019).</w:t>
      </w:r>
      <w:r w:rsidR="00F10496">
        <w:rPr>
          <w:rStyle w:val="Hyperlink"/>
          <w:color w:val="auto"/>
          <w:u w:val="none"/>
        </w:rPr>
        <w:t xml:space="preserve"> </w:t>
      </w:r>
      <w:r>
        <w:rPr>
          <w:rStyle w:val="Hyperlink"/>
          <w:color w:val="auto"/>
          <w:u w:val="none"/>
        </w:rPr>
        <w:t xml:space="preserve">Occupational therapists can increase individuals with IDD confidence in performing ADLs and IADLs tasks which can influence their overall independence in activities. They can work with individuals with IDD to find ways to align their need for independence in ADLs and IADLs in correspondence with their personal goals. </w:t>
      </w:r>
      <w:r w:rsidR="001401FA">
        <w:rPr>
          <w:rStyle w:val="Hyperlink"/>
          <w:color w:val="auto"/>
          <w:u w:val="none"/>
        </w:rPr>
        <w:t xml:space="preserve">There is an opportunity for occupational </w:t>
      </w:r>
      <w:r w:rsidR="00622294">
        <w:rPr>
          <w:rStyle w:val="Hyperlink"/>
          <w:color w:val="auto"/>
          <w:u w:val="none"/>
        </w:rPr>
        <w:t>therapists</w:t>
      </w:r>
      <w:r w:rsidR="001401FA">
        <w:rPr>
          <w:rStyle w:val="Hyperlink"/>
          <w:color w:val="auto"/>
          <w:u w:val="none"/>
        </w:rPr>
        <w:t xml:space="preserve"> to address and </w:t>
      </w:r>
      <w:r w:rsidR="009262C3">
        <w:rPr>
          <w:rStyle w:val="Hyperlink"/>
          <w:color w:val="auto"/>
          <w:u w:val="none"/>
        </w:rPr>
        <w:t>assess</w:t>
      </w:r>
      <w:r w:rsidR="001401FA">
        <w:rPr>
          <w:rStyle w:val="Hyperlink"/>
          <w:color w:val="auto"/>
          <w:u w:val="none"/>
        </w:rPr>
        <w:t xml:space="preserve"> the self-care need</w:t>
      </w:r>
      <w:r w:rsidR="00B53C7F">
        <w:rPr>
          <w:rStyle w:val="Hyperlink"/>
          <w:color w:val="auto"/>
          <w:u w:val="none"/>
        </w:rPr>
        <w:t xml:space="preserve">s </w:t>
      </w:r>
      <w:r w:rsidR="001401FA">
        <w:rPr>
          <w:rStyle w:val="Hyperlink"/>
          <w:color w:val="auto"/>
          <w:u w:val="none"/>
        </w:rPr>
        <w:t xml:space="preserve">of individuals with IDD to ensure that they can live independently. </w:t>
      </w:r>
      <w:r w:rsidR="00622294">
        <w:rPr>
          <w:rStyle w:val="Hyperlink"/>
          <w:color w:val="auto"/>
          <w:u w:val="none"/>
        </w:rPr>
        <w:t xml:space="preserve">Providers should consider addressing the areas of bathing, personal hygiene, communication management, and eating and swallowing </w:t>
      </w:r>
      <w:r w:rsidR="009262C3">
        <w:rPr>
          <w:rStyle w:val="Hyperlink"/>
          <w:color w:val="auto"/>
          <w:u w:val="none"/>
        </w:rPr>
        <w:t xml:space="preserve">to ensure these individuals can live independently. </w:t>
      </w:r>
    </w:p>
    <w:p w14:paraId="5988B94F" w14:textId="2B3D59E7" w:rsidR="00CB5A33" w:rsidRDefault="00CB5A33" w:rsidP="00820BCB">
      <w:pPr>
        <w:spacing w:line="480" w:lineRule="auto"/>
        <w:ind w:firstLine="720"/>
        <w:rPr>
          <w:rStyle w:val="Hyperlink"/>
          <w:color w:val="auto"/>
          <w:u w:val="none"/>
        </w:rPr>
      </w:pPr>
      <w:r>
        <w:rPr>
          <w:rStyle w:val="Hyperlink"/>
          <w:color w:val="auto"/>
          <w:u w:val="none"/>
        </w:rPr>
        <w:t xml:space="preserve">Although there was no predominant IADL or ADL determined in this scoping review there were still twelve </w:t>
      </w:r>
      <w:r w:rsidR="00AC7666">
        <w:rPr>
          <w:rStyle w:val="Hyperlink"/>
          <w:color w:val="auto"/>
          <w:u w:val="none"/>
        </w:rPr>
        <w:t xml:space="preserve">occupation-based interventions </w:t>
      </w:r>
      <w:r w:rsidR="00A80237">
        <w:rPr>
          <w:rStyle w:val="Hyperlink"/>
          <w:color w:val="auto"/>
          <w:u w:val="none"/>
        </w:rPr>
        <w:t>addressed and utilized</w:t>
      </w:r>
      <w:r w:rsidR="00AC7666">
        <w:rPr>
          <w:rStyle w:val="Hyperlink"/>
          <w:color w:val="auto"/>
          <w:u w:val="none"/>
        </w:rPr>
        <w:t xml:space="preserve"> in the eight articles. </w:t>
      </w:r>
      <w:r w:rsidR="00A80237">
        <w:rPr>
          <w:rStyle w:val="Hyperlink"/>
          <w:color w:val="auto"/>
          <w:u w:val="none"/>
        </w:rPr>
        <w:t xml:space="preserve">The articles found </w:t>
      </w:r>
      <w:r w:rsidR="00F10496">
        <w:rPr>
          <w:rStyle w:val="Hyperlink"/>
          <w:color w:val="auto"/>
          <w:u w:val="none"/>
        </w:rPr>
        <w:t>that</w:t>
      </w:r>
      <w:r w:rsidR="00A80237">
        <w:rPr>
          <w:rStyle w:val="Hyperlink"/>
          <w:color w:val="auto"/>
          <w:u w:val="none"/>
        </w:rPr>
        <w:t xml:space="preserve"> young adults with IDD participated in interventions that were focused on </w:t>
      </w:r>
      <w:r w:rsidR="00A80237">
        <w:rPr>
          <w:rStyle w:val="Hyperlink"/>
          <w:color w:val="auto"/>
          <w:u w:val="none"/>
        </w:rPr>
        <w:lastRenderedPageBreak/>
        <w:t xml:space="preserve">safety in and out of the home, social participation, community mobility, and financial management. </w:t>
      </w:r>
    </w:p>
    <w:p w14:paraId="71F511D9" w14:textId="77B37EAE" w:rsidR="005164EF" w:rsidRDefault="00CB5A33" w:rsidP="00820BCB">
      <w:pPr>
        <w:spacing w:line="480" w:lineRule="auto"/>
        <w:ind w:firstLine="720"/>
        <w:rPr>
          <w:b/>
          <w:bCs/>
        </w:rPr>
      </w:pPr>
      <w:r>
        <w:rPr>
          <w:rStyle w:val="Hyperlink"/>
          <w:color w:val="auto"/>
          <w:u w:val="none"/>
        </w:rPr>
        <w:t xml:space="preserve">This review showed the barriers caregivers, parents, and individuals with IDD face in being independent. </w:t>
      </w:r>
      <w:r w:rsidR="00FF7A69">
        <w:rPr>
          <w:rStyle w:val="Hyperlink"/>
          <w:color w:val="auto"/>
          <w:u w:val="none"/>
        </w:rPr>
        <w:t xml:space="preserve">While the young </w:t>
      </w:r>
      <w:r w:rsidR="00F10496">
        <w:rPr>
          <w:rStyle w:val="Hyperlink"/>
          <w:color w:val="auto"/>
          <w:u w:val="none"/>
        </w:rPr>
        <w:t>adults</w:t>
      </w:r>
      <w:r w:rsidR="00FF7A69">
        <w:rPr>
          <w:rStyle w:val="Hyperlink"/>
          <w:color w:val="auto"/>
          <w:u w:val="none"/>
        </w:rPr>
        <w:t xml:space="preserve"> with IDD are practicing new IADL and ADL tasks they are increasing their independence but </w:t>
      </w:r>
      <w:r w:rsidR="009E1727">
        <w:rPr>
          <w:rStyle w:val="Hyperlink"/>
          <w:color w:val="auto"/>
          <w:u w:val="none"/>
        </w:rPr>
        <w:t>once they are done</w:t>
      </w:r>
      <w:r w:rsidR="00FF7A69">
        <w:rPr>
          <w:rStyle w:val="Hyperlink"/>
          <w:color w:val="auto"/>
          <w:u w:val="none"/>
        </w:rPr>
        <w:t xml:space="preserve"> practic</w:t>
      </w:r>
      <w:r w:rsidR="009E1727">
        <w:rPr>
          <w:rStyle w:val="Hyperlink"/>
          <w:color w:val="auto"/>
          <w:u w:val="none"/>
        </w:rPr>
        <w:t>ing</w:t>
      </w:r>
      <w:r w:rsidR="00FF7A69">
        <w:rPr>
          <w:rStyle w:val="Hyperlink"/>
          <w:color w:val="auto"/>
          <w:u w:val="none"/>
        </w:rPr>
        <w:t xml:space="preserve"> </w:t>
      </w:r>
      <w:r w:rsidR="009E1727">
        <w:rPr>
          <w:rStyle w:val="Hyperlink"/>
          <w:color w:val="auto"/>
          <w:u w:val="none"/>
        </w:rPr>
        <w:t>there are challenges in retaining the skills to implement into everyday practice.</w:t>
      </w:r>
      <w:r w:rsidR="00FF7A69">
        <w:rPr>
          <w:rStyle w:val="Hyperlink"/>
          <w:color w:val="auto"/>
          <w:u w:val="none"/>
        </w:rPr>
        <w:t xml:space="preserve"> </w:t>
      </w:r>
      <w:r>
        <w:rPr>
          <w:rStyle w:val="Hyperlink"/>
          <w:color w:val="auto"/>
          <w:u w:val="none"/>
        </w:rPr>
        <w:t xml:space="preserve">There was also a gap determined in interventions focusing on ADLs. ADLs play an essential role in fostering independence. Future research could expand the search and investigate specific interventions with young adults with IDD and how these interventions have been implemented </w:t>
      </w:r>
      <w:r w:rsidR="00F10496">
        <w:rPr>
          <w:rStyle w:val="Hyperlink"/>
          <w:color w:val="auto"/>
          <w:u w:val="none"/>
        </w:rPr>
        <w:t>to aid</w:t>
      </w:r>
      <w:r>
        <w:rPr>
          <w:rStyle w:val="Hyperlink"/>
          <w:color w:val="auto"/>
          <w:u w:val="none"/>
        </w:rPr>
        <w:t xml:space="preserve"> independence. </w:t>
      </w:r>
      <w:r w:rsidR="00A80237">
        <w:rPr>
          <w:rStyle w:val="Hyperlink"/>
          <w:color w:val="auto"/>
          <w:u w:val="none"/>
        </w:rPr>
        <w:t>Determining the</w:t>
      </w:r>
      <w:r>
        <w:rPr>
          <w:rStyle w:val="Hyperlink"/>
          <w:color w:val="auto"/>
          <w:u w:val="none"/>
        </w:rPr>
        <w:t xml:space="preserve"> effectiveness of interventions addressing specific ADLs and IADLs </w:t>
      </w:r>
      <w:r w:rsidR="00A80237">
        <w:rPr>
          <w:rStyle w:val="Hyperlink"/>
          <w:color w:val="auto"/>
          <w:u w:val="none"/>
        </w:rPr>
        <w:t xml:space="preserve">will be beneficial </w:t>
      </w:r>
      <w:r w:rsidR="00F10496">
        <w:rPr>
          <w:rStyle w:val="Hyperlink"/>
          <w:color w:val="auto"/>
          <w:u w:val="none"/>
        </w:rPr>
        <w:t>for</w:t>
      </w:r>
      <w:r w:rsidR="00A80237">
        <w:rPr>
          <w:rStyle w:val="Hyperlink"/>
          <w:color w:val="auto"/>
          <w:u w:val="none"/>
        </w:rPr>
        <w:t xml:space="preserve"> occupational therapists working with young adults with IDD. </w:t>
      </w:r>
      <w:r>
        <w:rPr>
          <w:rStyle w:val="Hyperlink"/>
          <w:color w:val="auto"/>
          <w:u w:val="none"/>
        </w:rPr>
        <w:t xml:space="preserve"> </w:t>
      </w:r>
    </w:p>
    <w:p w14:paraId="42EE5F6B" w14:textId="77777777" w:rsidR="00F43D76" w:rsidRDefault="00F43D76" w:rsidP="00CB5A33">
      <w:pPr>
        <w:rPr>
          <w:b/>
          <w:bCs/>
        </w:rPr>
      </w:pPr>
    </w:p>
    <w:p w14:paraId="29835D06" w14:textId="77777777" w:rsidR="00F43D76" w:rsidRDefault="00F43D76" w:rsidP="006E6C13">
      <w:pPr>
        <w:jc w:val="center"/>
        <w:rPr>
          <w:b/>
          <w:bCs/>
        </w:rPr>
      </w:pPr>
    </w:p>
    <w:p w14:paraId="6BD2EA9B" w14:textId="77777777" w:rsidR="00F43D76" w:rsidRDefault="00F43D76" w:rsidP="006E6C13">
      <w:pPr>
        <w:jc w:val="center"/>
        <w:rPr>
          <w:b/>
          <w:bCs/>
        </w:rPr>
      </w:pPr>
    </w:p>
    <w:p w14:paraId="491C8F22" w14:textId="77777777" w:rsidR="00F43D76" w:rsidRDefault="00F43D76" w:rsidP="006E6C13">
      <w:pPr>
        <w:jc w:val="center"/>
        <w:rPr>
          <w:b/>
          <w:bCs/>
        </w:rPr>
      </w:pPr>
    </w:p>
    <w:p w14:paraId="4875FB1E" w14:textId="77777777" w:rsidR="00F43D76" w:rsidRDefault="00F43D76" w:rsidP="006E6C13">
      <w:pPr>
        <w:jc w:val="center"/>
        <w:rPr>
          <w:b/>
          <w:bCs/>
        </w:rPr>
      </w:pPr>
    </w:p>
    <w:p w14:paraId="4A7C6C8B" w14:textId="77777777" w:rsidR="00F43D76" w:rsidRDefault="00F43D76" w:rsidP="006E6C13">
      <w:pPr>
        <w:jc w:val="center"/>
        <w:rPr>
          <w:b/>
          <w:bCs/>
        </w:rPr>
      </w:pPr>
    </w:p>
    <w:p w14:paraId="6220B0B4" w14:textId="77777777" w:rsidR="00F43D76" w:rsidRDefault="00F43D76" w:rsidP="006E6C13">
      <w:pPr>
        <w:jc w:val="center"/>
        <w:rPr>
          <w:b/>
          <w:bCs/>
        </w:rPr>
      </w:pPr>
    </w:p>
    <w:p w14:paraId="4822BD19" w14:textId="77777777" w:rsidR="00F10496" w:rsidRDefault="00F10496" w:rsidP="006E6C13">
      <w:pPr>
        <w:jc w:val="center"/>
        <w:rPr>
          <w:b/>
          <w:bCs/>
        </w:rPr>
      </w:pPr>
    </w:p>
    <w:p w14:paraId="3301279F" w14:textId="77777777" w:rsidR="00F10496" w:rsidRDefault="00F10496" w:rsidP="006E6C13">
      <w:pPr>
        <w:jc w:val="center"/>
        <w:rPr>
          <w:b/>
          <w:bCs/>
        </w:rPr>
      </w:pPr>
    </w:p>
    <w:p w14:paraId="67EE5C95" w14:textId="77777777" w:rsidR="00F10496" w:rsidRDefault="00F10496" w:rsidP="006E6C13">
      <w:pPr>
        <w:jc w:val="center"/>
        <w:rPr>
          <w:b/>
          <w:bCs/>
        </w:rPr>
      </w:pPr>
    </w:p>
    <w:p w14:paraId="6877483A" w14:textId="77777777" w:rsidR="00F10496" w:rsidRDefault="00F10496" w:rsidP="006E6C13">
      <w:pPr>
        <w:jc w:val="center"/>
        <w:rPr>
          <w:b/>
          <w:bCs/>
        </w:rPr>
      </w:pPr>
    </w:p>
    <w:p w14:paraId="7778AAD3" w14:textId="77777777" w:rsidR="00F10496" w:rsidRDefault="00F10496" w:rsidP="006E6C13">
      <w:pPr>
        <w:jc w:val="center"/>
        <w:rPr>
          <w:b/>
          <w:bCs/>
        </w:rPr>
      </w:pPr>
    </w:p>
    <w:p w14:paraId="50A3DF7F" w14:textId="77777777" w:rsidR="00F10496" w:rsidRDefault="00F10496" w:rsidP="006E6C13">
      <w:pPr>
        <w:jc w:val="center"/>
        <w:rPr>
          <w:b/>
          <w:bCs/>
        </w:rPr>
      </w:pPr>
    </w:p>
    <w:p w14:paraId="61DE356F" w14:textId="77777777" w:rsidR="00F10496" w:rsidRDefault="00F10496" w:rsidP="006E6C13">
      <w:pPr>
        <w:jc w:val="center"/>
        <w:rPr>
          <w:b/>
          <w:bCs/>
        </w:rPr>
      </w:pPr>
    </w:p>
    <w:p w14:paraId="47EEA1B8" w14:textId="77777777" w:rsidR="00F10496" w:rsidRDefault="00F10496" w:rsidP="006E6C13">
      <w:pPr>
        <w:jc w:val="center"/>
        <w:rPr>
          <w:b/>
          <w:bCs/>
        </w:rPr>
      </w:pPr>
    </w:p>
    <w:p w14:paraId="3E937632" w14:textId="77777777" w:rsidR="00F10496" w:rsidRDefault="00F10496" w:rsidP="006E6C13">
      <w:pPr>
        <w:jc w:val="center"/>
        <w:rPr>
          <w:b/>
          <w:bCs/>
        </w:rPr>
      </w:pPr>
    </w:p>
    <w:p w14:paraId="7FFF1AB0" w14:textId="77777777" w:rsidR="00F10496" w:rsidRDefault="00F10496" w:rsidP="006E6C13">
      <w:pPr>
        <w:jc w:val="center"/>
        <w:rPr>
          <w:b/>
          <w:bCs/>
        </w:rPr>
      </w:pPr>
    </w:p>
    <w:p w14:paraId="0B48CA66" w14:textId="77777777" w:rsidR="00F10496" w:rsidRDefault="00F10496" w:rsidP="006E6C13">
      <w:pPr>
        <w:jc w:val="center"/>
        <w:rPr>
          <w:b/>
          <w:bCs/>
        </w:rPr>
      </w:pPr>
    </w:p>
    <w:p w14:paraId="6BAE910F" w14:textId="77777777" w:rsidR="00F10496" w:rsidRDefault="00F10496" w:rsidP="006E6C13">
      <w:pPr>
        <w:jc w:val="center"/>
        <w:rPr>
          <w:b/>
          <w:bCs/>
        </w:rPr>
      </w:pPr>
    </w:p>
    <w:p w14:paraId="4B49D7D5" w14:textId="77777777" w:rsidR="00F10496" w:rsidRDefault="00F10496" w:rsidP="006E6C13">
      <w:pPr>
        <w:jc w:val="center"/>
        <w:rPr>
          <w:b/>
          <w:bCs/>
        </w:rPr>
      </w:pPr>
    </w:p>
    <w:p w14:paraId="64420903" w14:textId="77777777" w:rsidR="00F43D76" w:rsidRDefault="00F43D76" w:rsidP="006E6C13">
      <w:pPr>
        <w:jc w:val="center"/>
        <w:rPr>
          <w:b/>
          <w:bCs/>
        </w:rPr>
      </w:pPr>
    </w:p>
    <w:p w14:paraId="19189A22" w14:textId="77777777" w:rsidR="00F43D76" w:rsidRDefault="00F43D76" w:rsidP="006E6C13">
      <w:pPr>
        <w:jc w:val="center"/>
        <w:rPr>
          <w:b/>
          <w:bCs/>
        </w:rPr>
      </w:pPr>
    </w:p>
    <w:p w14:paraId="4748E482" w14:textId="77777777" w:rsidR="00F43D76" w:rsidRDefault="00F43D76" w:rsidP="00A80237">
      <w:pPr>
        <w:spacing w:line="480" w:lineRule="auto"/>
        <w:rPr>
          <w:b/>
          <w:bCs/>
        </w:rPr>
      </w:pPr>
    </w:p>
    <w:p w14:paraId="5E55CF05" w14:textId="3B0EF139" w:rsidR="006E6C13" w:rsidRDefault="006E6C13" w:rsidP="00200E0D">
      <w:pPr>
        <w:spacing w:line="480" w:lineRule="auto"/>
        <w:jc w:val="center"/>
        <w:rPr>
          <w:b/>
          <w:bCs/>
        </w:rPr>
      </w:pPr>
      <w:r w:rsidRPr="006E6C13">
        <w:rPr>
          <w:b/>
          <w:bCs/>
        </w:rPr>
        <w:lastRenderedPageBreak/>
        <w:t>References</w:t>
      </w:r>
    </w:p>
    <w:p w14:paraId="2CB28580" w14:textId="77777777" w:rsidR="00197224" w:rsidRPr="00197224" w:rsidRDefault="00197224" w:rsidP="00200E0D">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American Occupational Therapy Association (2020). Occupational therapy practice framework: Domain and process (4</w:t>
      </w:r>
      <w:r w:rsidRPr="00197224">
        <w:rPr>
          <w:rFonts w:eastAsia="Times New Roman" w:cs="Times New Roman"/>
          <w:color w:val="000000"/>
          <w:kern w:val="0"/>
          <w:sz w:val="14"/>
          <w:szCs w:val="14"/>
          <w:vertAlign w:val="superscript"/>
          <w14:ligatures w14:val="none"/>
        </w:rPr>
        <w:t>th</w:t>
      </w:r>
      <w:r w:rsidRPr="00197224">
        <w:rPr>
          <w:rFonts w:eastAsia="Times New Roman" w:cs="Times New Roman"/>
          <w:color w:val="000000"/>
          <w:kern w:val="0"/>
          <w:szCs w:val="24"/>
          <w14:ligatures w14:val="none"/>
        </w:rPr>
        <w:t xml:space="preserve"> ed.). AOTA Press.</w:t>
      </w:r>
      <w:hyperlink r:id="rId10" w:history="1">
        <w:r w:rsidRPr="00197224">
          <w:rPr>
            <w:rFonts w:eastAsia="Times New Roman" w:cs="Times New Roman"/>
            <w:color w:val="000000"/>
            <w:kern w:val="0"/>
            <w:szCs w:val="24"/>
            <w:u w:val="single"/>
            <w14:ligatures w14:val="none"/>
          </w:rPr>
          <w:t xml:space="preserve"> </w:t>
        </w:r>
        <w:r w:rsidRPr="00197224">
          <w:rPr>
            <w:rFonts w:eastAsia="Times New Roman" w:cs="Times New Roman"/>
            <w:color w:val="1155CC"/>
            <w:kern w:val="0"/>
            <w:szCs w:val="24"/>
            <w:u w:val="single"/>
            <w14:ligatures w14:val="none"/>
          </w:rPr>
          <w:t>https://doi.org/10.5014/ajot.2020.74S2001</w:t>
        </w:r>
      </w:hyperlink>
    </w:p>
    <w:p w14:paraId="57B85358" w14:textId="77777777" w:rsidR="00197224" w:rsidRDefault="00197224" w:rsidP="00197224">
      <w:pPr>
        <w:spacing w:line="480" w:lineRule="auto"/>
        <w:ind w:left="720" w:hanging="720"/>
        <w:rPr>
          <w:rFonts w:eastAsia="Times New Roman" w:cs="Times New Roman"/>
          <w:color w:val="000000"/>
          <w:kern w:val="0"/>
          <w:szCs w:val="24"/>
          <w14:ligatures w14:val="none"/>
        </w:rPr>
      </w:pPr>
      <w:r w:rsidRPr="00197224">
        <w:rPr>
          <w:rFonts w:eastAsia="Times New Roman" w:cs="Times New Roman"/>
          <w:color w:val="000000"/>
          <w:kern w:val="0"/>
          <w:szCs w:val="24"/>
          <w14:ligatures w14:val="none"/>
        </w:rPr>
        <w:t xml:space="preserve">Anaby, D., </w:t>
      </w:r>
      <w:proofErr w:type="spellStart"/>
      <w:r w:rsidRPr="00197224">
        <w:rPr>
          <w:rFonts w:eastAsia="Times New Roman" w:cs="Times New Roman"/>
          <w:color w:val="000000"/>
          <w:kern w:val="0"/>
          <w:szCs w:val="24"/>
          <w14:ligatures w14:val="none"/>
        </w:rPr>
        <w:t>Mercerat</w:t>
      </w:r>
      <w:proofErr w:type="spellEnd"/>
      <w:r w:rsidRPr="00197224">
        <w:rPr>
          <w:rFonts w:eastAsia="Times New Roman" w:cs="Times New Roman"/>
          <w:color w:val="000000"/>
          <w:kern w:val="0"/>
          <w:szCs w:val="24"/>
          <w14:ligatures w14:val="none"/>
        </w:rPr>
        <w:t xml:space="preserve">, C., &amp; Tremblay, S. (2017). Enhancing youth participation using the PREP intervention: Parents’ perspectives. </w:t>
      </w:r>
      <w:r w:rsidRPr="00197224">
        <w:rPr>
          <w:rFonts w:eastAsia="Times New Roman" w:cs="Times New Roman"/>
          <w:i/>
          <w:iCs/>
          <w:color w:val="000000"/>
          <w:kern w:val="0"/>
          <w:szCs w:val="24"/>
          <w14:ligatures w14:val="none"/>
        </w:rPr>
        <w:t>International Journal of Environmental Research and Public Health</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14</w:t>
      </w:r>
      <w:r w:rsidRPr="00197224">
        <w:rPr>
          <w:rFonts w:eastAsia="Times New Roman" w:cs="Times New Roman"/>
          <w:color w:val="000000"/>
          <w:kern w:val="0"/>
          <w:szCs w:val="24"/>
          <w14:ligatures w14:val="none"/>
        </w:rPr>
        <w:t xml:space="preserve">(9), 1005. </w:t>
      </w:r>
      <w:hyperlink r:id="rId11" w:history="1">
        <w:r w:rsidRPr="00197224">
          <w:rPr>
            <w:rFonts w:eastAsia="Times New Roman" w:cs="Times New Roman"/>
            <w:color w:val="467886"/>
            <w:kern w:val="0"/>
            <w:szCs w:val="24"/>
            <w:u w:val="single"/>
            <w14:ligatures w14:val="none"/>
          </w:rPr>
          <w:t>https://doi.org/10.3390/ijerph14091005</w:t>
        </w:r>
      </w:hyperlink>
      <w:r w:rsidRPr="00197224">
        <w:rPr>
          <w:rFonts w:eastAsia="Times New Roman" w:cs="Times New Roman"/>
          <w:color w:val="000000"/>
          <w:kern w:val="0"/>
          <w:szCs w:val="24"/>
          <w14:ligatures w14:val="none"/>
        </w:rPr>
        <w:t> </w:t>
      </w:r>
    </w:p>
    <w:p w14:paraId="749FDB6A" w14:textId="7CA0D7EF" w:rsidR="002F623E" w:rsidRPr="00197224" w:rsidRDefault="002F623E" w:rsidP="002F623E">
      <w:pPr>
        <w:spacing w:line="480" w:lineRule="auto"/>
        <w:ind w:left="720" w:hanging="720"/>
        <w:rPr>
          <w:rFonts w:eastAsia="Times New Roman" w:cs="Times New Roman"/>
          <w:kern w:val="0"/>
          <w:szCs w:val="24"/>
          <w14:ligatures w14:val="none"/>
        </w:rPr>
      </w:pPr>
      <w:bookmarkStart w:id="2" w:name="_Hlk150520304"/>
      <w:r w:rsidRPr="0074375E">
        <w:rPr>
          <w:rFonts w:eastAsia="Times New Roman" w:cs="Times New Roman"/>
          <w:kern w:val="0"/>
          <w:szCs w:val="24"/>
          <w14:ligatures w14:val="none"/>
        </w:rPr>
        <w:t xml:space="preserve">Barnard‐Brak, L., Richman, D. M., Mutua, K., &amp; Williamson, A. (2023). Predictors of employment for adults with intellectual and developmental disabilities participating in a postsecondary transition program in the United States. </w:t>
      </w:r>
      <w:r w:rsidRPr="0074375E">
        <w:rPr>
          <w:rFonts w:eastAsia="Times New Roman" w:cs="Times New Roman"/>
          <w:i/>
          <w:iCs/>
          <w:kern w:val="0"/>
          <w:szCs w:val="24"/>
          <w14:ligatures w14:val="none"/>
        </w:rPr>
        <w:t>Journal of Applied Research in Intellectual Disabilities</w:t>
      </w:r>
      <w:r w:rsidRPr="0074375E">
        <w:rPr>
          <w:rFonts w:eastAsia="Times New Roman" w:cs="Times New Roman"/>
          <w:kern w:val="0"/>
          <w:szCs w:val="24"/>
          <w14:ligatures w14:val="none"/>
        </w:rPr>
        <w:t xml:space="preserve">, </w:t>
      </w:r>
      <w:r w:rsidRPr="0074375E">
        <w:rPr>
          <w:rFonts w:eastAsia="Times New Roman" w:cs="Times New Roman"/>
          <w:i/>
          <w:iCs/>
          <w:kern w:val="0"/>
          <w:szCs w:val="24"/>
          <w14:ligatures w14:val="none"/>
        </w:rPr>
        <w:t>36</w:t>
      </w:r>
      <w:r w:rsidRPr="0074375E">
        <w:rPr>
          <w:rFonts w:eastAsia="Times New Roman" w:cs="Times New Roman"/>
          <w:kern w:val="0"/>
          <w:szCs w:val="24"/>
          <w14:ligatures w14:val="none"/>
        </w:rPr>
        <w:t xml:space="preserve">(1), 116–121. </w:t>
      </w:r>
      <w:hyperlink r:id="rId12" w:history="1">
        <w:r w:rsidRPr="0074375E">
          <w:rPr>
            <w:rStyle w:val="Hyperlink"/>
            <w:rFonts w:eastAsia="Times New Roman" w:cs="Times New Roman"/>
            <w:kern w:val="0"/>
            <w:szCs w:val="24"/>
            <w14:ligatures w14:val="none"/>
          </w:rPr>
          <w:t>https://doi.org/10.1111/jar.13040</w:t>
        </w:r>
      </w:hyperlink>
      <w:r>
        <w:rPr>
          <w:rFonts w:eastAsia="Times New Roman" w:cs="Times New Roman"/>
          <w:kern w:val="0"/>
          <w:szCs w:val="24"/>
          <w14:ligatures w14:val="none"/>
        </w:rPr>
        <w:t xml:space="preserve"> </w:t>
      </w:r>
      <w:bookmarkEnd w:id="2"/>
    </w:p>
    <w:p w14:paraId="55623A9F" w14:textId="77777777" w:rsidR="00197224" w:rsidRDefault="00197224" w:rsidP="002F623E">
      <w:pPr>
        <w:spacing w:line="480" w:lineRule="auto"/>
        <w:ind w:left="720" w:hanging="720"/>
        <w:rPr>
          <w:rFonts w:eastAsia="Times New Roman" w:cs="Times New Roman"/>
          <w:color w:val="000000"/>
          <w:kern w:val="0"/>
          <w:szCs w:val="24"/>
          <w14:ligatures w14:val="none"/>
        </w:rPr>
      </w:pPr>
      <w:r w:rsidRPr="00197224">
        <w:rPr>
          <w:rFonts w:eastAsia="Times New Roman" w:cs="Times New Roman"/>
          <w:color w:val="000000"/>
          <w:kern w:val="0"/>
          <w:szCs w:val="24"/>
          <w14:ligatures w14:val="none"/>
        </w:rPr>
        <w:t xml:space="preserve">Berg, L. A., </w:t>
      </w:r>
      <w:proofErr w:type="spellStart"/>
      <w:r w:rsidRPr="00197224">
        <w:rPr>
          <w:rFonts w:eastAsia="Times New Roman" w:cs="Times New Roman"/>
          <w:color w:val="000000"/>
          <w:kern w:val="0"/>
          <w:szCs w:val="24"/>
          <w14:ligatures w14:val="none"/>
        </w:rPr>
        <w:t>Jirikowic</w:t>
      </w:r>
      <w:proofErr w:type="spellEnd"/>
      <w:r w:rsidRPr="00197224">
        <w:rPr>
          <w:rFonts w:eastAsia="Times New Roman" w:cs="Times New Roman"/>
          <w:color w:val="000000"/>
          <w:kern w:val="0"/>
          <w:szCs w:val="24"/>
          <w14:ligatures w14:val="none"/>
        </w:rPr>
        <w:t xml:space="preserve">, T., </w:t>
      </w:r>
      <w:proofErr w:type="spellStart"/>
      <w:r w:rsidRPr="00197224">
        <w:rPr>
          <w:rFonts w:eastAsia="Times New Roman" w:cs="Times New Roman"/>
          <w:color w:val="000000"/>
          <w:kern w:val="0"/>
          <w:szCs w:val="24"/>
          <w14:ligatures w14:val="none"/>
        </w:rPr>
        <w:t>Haerling</w:t>
      </w:r>
      <w:proofErr w:type="spellEnd"/>
      <w:r w:rsidRPr="00197224">
        <w:rPr>
          <w:rFonts w:eastAsia="Times New Roman" w:cs="Times New Roman"/>
          <w:color w:val="000000"/>
          <w:kern w:val="0"/>
          <w:szCs w:val="24"/>
          <w14:ligatures w14:val="none"/>
        </w:rPr>
        <w:t xml:space="preserve">, K., &amp; MacDonald, G. (2017). Navigating the hidden curriculum of higher education for postsecondary students with intellectual disabilities. </w:t>
      </w:r>
      <w:r w:rsidRPr="00197224">
        <w:rPr>
          <w:rFonts w:eastAsia="Times New Roman" w:cs="Times New Roman"/>
          <w:i/>
          <w:iCs/>
          <w:color w:val="000000"/>
          <w:kern w:val="0"/>
          <w:szCs w:val="24"/>
          <w14:ligatures w14:val="none"/>
        </w:rPr>
        <w:t>The American Journal of Occupational Therapy</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71</w:t>
      </w:r>
      <w:r w:rsidRPr="00197224">
        <w:rPr>
          <w:rFonts w:eastAsia="Times New Roman" w:cs="Times New Roman"/>
          <w:color w:val="000000"/>
          <w:kern w:val="0"/>
          <w:szCs w:val="24"/>
          <w14:ligatures w14:val="none"/>
        </w:rPr>
        <w:t xml:space="preserve">(3), 7103100020p1-7103100020p9. </w:t>
      </w:r>
      <w:hyperlink r:id="rId13" w:history="1">
        <w:r w:rsidRPr="00197224">
          <w:rPr>
            <w:rFonts w:eastAsia="Times New Roman" w:cs="Times New Roman"/>
            <w:color w:val="467886"/>
            <w:kern w:val="0"/>
            <w:szCs w:val="24"/>
            <w:u w:val="single"/>
            <w14:ligatures w14:val="none"/>
          </w:rPr>
          <w:t>https://doi.org/10.5014/ajot.2017.024703</w:t>
        </w:r>
      </w:hyperlink>
      <w:r w:rsidRPr="00197224">
        <w:rPr>
          <w:rFonts w:eastAsia="Times New Roman" w:cs="Times New Roman"/>
          <w:color w:val="000000"/>
          <w:kern w:val="0"/>
          <w:szCs w:val="24"/>
          <w14:ligatures w14:val="none"/>
        </w:rPr>
        <w:t> </w:t>
      </w:r>
    </w:p>
    <w:p w14:paraId="4C442D19" w14:textId="2F2B9AB9" w:rsidR="002F623E" w:rsidRPr="00197224" w:rsidRDefault="002F623E" w:rsidP="002F623E">
      <w:pPr>
        <w:spacing w:line="480" w:lineRule="auto"/>
        <w:ind w:left="720" w:hanging="720"/>
        <w:rPr>
          <w:rFonts w:eastAsia="Times New Roman" w:cs="Times New Roman"/>
          <w:kern w:val="0"/>
          <w:szCs w:val="24"/>
          <w14:ligatures w14:val="none"/>
        </w:rPr>
      </w:pPr>
      <w:r w:rsidRPr="00AD578B">
        <w:rPr>
          <w:rFonts w:eastAsia="Times New Roman" w:cs="Times New Roman"/>
          <w:kern w:val="0"/>
          <w:szCs w:val="24"/>
          <w14:ligatures w14:val="none"/>
        </w:rPr>
        <w:t xml:space="preserve">Chiang, C.-Y., &amp; Howe, T.-H. (2021). Bridge to the </w:t>
      </w:r>
      <w:r>
        <w:rPr>
          <w:rFonts w:eastAsia="Times New Roman" w:cs="Times New Roman"/>
          <w:kern w:val="0"/>
          <w:szCs w:val="24"/>
          <w14:ligatures w14:val="none"/>
        </w:rPr>
        <w:t>f</w:t>
      </w:r>
      <w:r w:rsidRPr="00AD578B">
        <w:rPr>
          <w:rFonts w:eastAsia="Times New Roman" w:cs="Times New Roman"/>
          <w:kern w:val="0"/>
          <w:szCs w:val="24"/>
          <w14:ligatures w14:val="none"/>
        </w:rPr>
        <w:t xml:space="preserve">uture: A </w:t>
      </w:r>
      <w:r>
        <w:rPr>
          <w:rFonts w:eastAsia="Times New Roman" w:cs="Times New Roman"/>
          <w:kern w:val="0"/>
          <w:szCs w:val="24"/>
          <w14:ligatures w14:val="none"/>
        </w:rPr>
        <w:t>c</w:t>
      </w:r>
      <w:r w:rsidRPr="00AD578B">
        <w:rPr>
          <w:rFonts w:eastAsia="Times New Roman" w:cs="Times New Roman"/>
          <w:kern w:val="0"/>
          <w:szCs w:val="24"/>
          <w14:ligatures w14:val="none"/>
        </w:rPr>
        <w:t xml:space="preserve">areer </w:t>
      </w:r>
      <w:r>
        <w:rPr>
          <w:rFonts w:eastAsia="Times New Roman" w:cs="Times New Roman"/>
          <w:kern w:val="0"/>
          <w:szCs w:val="24"/>
          <w14:ligatures w14:val="none"/>
        </w:rPr>
        <w:t>e</w:t>
      </w:r>
      <w:r w:rsidRPr="00AD578B">
        <w:rPr>
          <w:rFonts w:eastAsia="Times New Roman" w:cs="Times New Roman"/>
          <w:kern w:val="0"/>
          <w:szCs w:val="24"/>
          <w14:ligatures w14:val="none"/>
        </w:rPr>
        <w:t xml:space="preserve">xploration </w:t>
      </w:r>
      <w:r>
        <w:rPr>
          <w:rFonts w:eastAsia="Times New Roman" w:cs="Times New Roman"/>
          <w:kern w:val="0"/>
          <w:szCs w:val="24"/>
          <w14:ligatures w14:val="none"/>
        </w:rPr>
        <w:t>f</w:t>
      </w:r>
      <w:r w:rsidRPr="00AD578B">
        <w:rPr>
          <w:rFonts w:eastAsia="Times New Roman" w:cs="Times New Roman"/>
          <w:kern w:val="0"/>
          <w:szCs w:val="24"/>
          <w14:ligatures w14:val="none"/>
        </w:rPr>
        <w:t xml:space="preserve">rame of </w:t>
      </w:r>
      <w:r>
        <w:rPr>
          <w:rFonts w:eastAsia="Times New Roman" w:cs="Times New Roman"/>
          <w:kern w:val="0"/>
          <w:szCs w:val="24"/>
          <w14:ligatures w14:val="none"/>
        </w:rPr>
        <w:t>r</w:t>
      </w:r>
      <w:r w:rsidRPr="00AD578B">
        <w:rPr>
          <w:rFonts w:eastAsia="Times New Roman" w:cs="Times New Roman"/>
          <w:kern w:val="0"/>
          <w:szCs w:val="24"/>
          <w14:ligatures w14:val="none"/>
        </w:rPr>
        <w:t xml:space="preserve">eference for </w:t>
      </w:r>
      <w:r>
        <w:rPr>
          <w:rFonts w:eastAsia="Times New Roman" w:cs="Times New Roman"/>
          <w:kern w:val="0"/>
          <w:szCs w:val="24"/>
          <w14:ligatures w14:val="none"/>
        </w:rPr>
        <w:t>s</w:t>
      </w:r>
      <w:r w:rsidRPr="00AD578B">
        <w:rPr>
          <w:rFonts w:eastAsia="Times New Roman" w:cs="Times New Roman"/>
          <w:kern w:val="0"/>
          <w:szCs w:val="24"/>
          <w14:ligatures w14:val="none"/>
        </w:rPr>
        <w:t xml:space="preserve">tudents with </w:t>
      </w:r>
      <w:r>
        <w:rPr>
          <w:rFonts w:eastAsia="Times New Roman" w:cs="Times New Roman"/>
          <w:kern w:val="0"/>
          <w:szCs w:val="24"/>
          <w14:ligatures w14:val="none"/>
        </w:rPr>
        <w:t>d</w:t>
      </w:r>
      <w:r w:rsidRPr="00AD578B">
        <w:rPr>
          <w:rFonts w:eastAsia="Times New Roman" w:cs="Times New Roman"/>
          <w:kern w:val="0"/>
          <w:szCs w:val="24"/>
          <w14:ligatures w14:val="none"/>
        </w:rPr>
        <w:t xml:space="preserve">isabilities. </w:t>
      </w:r>
      <w:r w:rsidRPr="00AD578B">
        <w:rPr>
          <w:rFonts w:eastAsia="Times New Roman" w:cs="Times New Roman"/>
          <w:i/>
          <w:iCs/>
          <w:kern w:val="0"/>
          <w:szCs w:val="24"/>
          <w14:ligatures w14:val="none"/>
        </w:rPr>
        <w:t>The Open Journal of Occupational Therapy</w:t>
      </w:r>
      <w:r w:rsidRPr="00AD578B">
        <w:rPr>
          <w:rFonts w:eastAsia="Times New Roman" w:cs="Times New Roman"/>
          <w:kern w:val="0"/>
          <w:szCs w:val="24"/>
          <w14:ligatures w14:val="none"/>
        </w:rPr>
        <w:t xml:space="preserve">, </w:t>
      </w:r>
      <w:r w:rsidRPr="00AD578B">
        <w:rPr>
          <w:rFonts w:eastAsia="Times New Roman" w:cs="Times New Roman"/>
          <w:i/>
          <w:iCs/>
          <w:kern w:val="0"/>
          <w:szCs w:val="24"/>
          <w14:ligatures w14:val="none"/>
        </w:rPr>
        <w:t>9</w:t>
      </w:r>
      <w:r w:rsidRPr="00AD578B">
        <w:rPr>
          <w:rFonts w:eastAsia="Times New Roman" w:cs="Times New Roman"/>
          <w:kern w:val="0"/>
          <w:szCs w:val="24"/>
          <w14:ligatures w14:val="none"/>
        </w:rPr>
        <w:t xml:space="preserve">(4), 1–13. </w:t>
      </w:r>
      <w:hyperlink r:id="rId14" w:history="1">
        <w:r w:rsidRPr="00AD578B">
          <w:rPr>
            <w:rStyle w:val="Hyperlink"/>
            <w:rFonts w:eastAsia="Times New Roman" w:cs="Times New Roman"/>
            <w:kern w:val="0"/>
            <w:szCs w:val="24"/>
            <w14:ligatures w14:val="none"/>
          </w:rPr>
          <w:t>https://doi.org/10.15453/2168-6408.1724</w:t>
        </w:r>
      </w:hyperlink>
      <w:r>
        <w:rPr>
          <w:rFonts w:eastAsia="Times New Roman" w:cs="Times New Roman"/>
          <w:kern w:val="0"/>
          <w:szCs w:val="24"/>
          <w14:ligatures w14:val="none"/>
        </w:rPr>
        <w:t xml:space="preserve"> </w:t>
      </w:r>
    </w:p>
    <w:p w14:paraId="346FD5EE" w14:textId="77777777" w:rsidR="00197224" w:rsidRPr="00197224" w:rsidRDefault="00197224" w:rsidP="00197224">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 xml:space="preserve">DuBois, D., Renwick, R., Chowdhury, M., Eisen, S., &amp; Cameron, D. (2020). Engagement in community life: Perspectives of youths with intellectual and developmental disabilities on families’ roles. </w:t>
      </w:r>
      <w:r w:rsidRPr="00197224">
        <w:rPr>
          <w:rFonts w:eastAsia="Times New Roman" w:cs="Times New Roman"/>
          <w:i/>
          <w:iCs/>
          <w:color w:val="000000"/>
          <w:kern w:val="0"/>
          <w:szCs w:val="24"/>
          <w14:ligatures w14:val="none"/>
        </w:rPr>
        <w:t>Disability and Rehabilitation</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42</w:t>
      </w:r>
      <w:r w:rsidRPr="00197224">
        <w:rPr>
          <w:rFonts w:eastAsia="Times New Roman" w:cs="Times New Roman"/>
          <w:color w:val="000000"/>
          <w:kern w:val="0"/>
          <w:szCs w:val="24"/>
          <w14:ligatures w14:val="none"/>
        </w:rPr>
        <w:t xml:space="preserve">(20), 2923–2934. </w:t>
      </w:r>
      <w:hyperlink r:id="rId15" w:history="1">
        <w:r w:rsidRPr="00197224">
          <w:rPr>
            <w:rFonts w:eastAsia="Times New Roman" w:cs="Times New Roman"/>
            <w:color w:val="467886"/>
            <w:kern w:val="0"/>
            <w:szCs w:val="24"/>
            <w:u w:val="single"/>
            <w14:ligatures w14:val="none"/>
          </w:rPr>
          <w:t>https://doi.org/10.1080/09638288.2019.1576781</w:t>
        </w:r>
      </w:hyperlink>
      <w:r w:rsidRPr="00197224">
        <w:rPr>
          <w:rFonts w:eastAsia="Times New Roman" w:cs="Times New Roman"/>
          <w:color w:val="000000"/>
          <w:kern w:val="0"/>
          <w:szCs w:val="24"/>
          <w14:ligatures w14:val="none"/>
        </w:rPr>
        <w:t> </w:t>
      </w:r>
    </w:p>
    <w:p w14:paraId="416EE214" w14:textId="77777777" w:rsidR="00197224" w:rsidRPr="00197224" w:rsidRDefault="00197224" w:rsidP="00197224">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lastRenderedPageBreak/>
        <w:t xml:space="preserve">Dunn, L., &amp; Gardner, J. (2013). Household task participation of children with and without physical disability. </w:t>
      </w:r>
      <w:r w:rsidRPr="00197224">
        <w:rPr>
          <w:rFonts w:eastAsia="Times New Roman" w:cs="Times New Roman"/>
          <w:i/>
          <w:iCs/>
          <w:color w:val="000000"/>
          <w:kern w:val="0"/>
          <w:szCs w:val="24"/>
          <w14:ligatures w14:val="none"/>
        </w:rPr>
        <w:t>The American Journal of Occupational Therapy</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67</w:t>
      </w:r>
      <w:r w:rsidRPr="00197224">
        <w:rPr>
          <w:rFonts w:eastAsia="Times New Roman" w:cs="Times New Roman"/>
          <w:color w:val="000000"/>
          <w:kern w:val="0"/>
          <w:szCs w:val="24"/>
          <w14:ligatures w14:val="none"/>
        </w:rPr>
        <w:t xml:space="preserve">(5), e100–e105. </w:t>
      </w:r>
      <w:hyperlink r:id="rId16" w:history="1">
        <w:r w:rsidRPr="00197224">
          <w:rPr>
            <w:rFonts w:eastAsia="Times New Roman" w:cs="Times New Roman"/>
            <w:color w:val="467886"/>
            <w:kern w:val="0"/>
            <w:szCs w:val="24"/>
            <w:u w:val="single"/>
            <w14:ligatures w14:val="none"/>
          </w:rPr>
          <w:t>https://doi.org/10.5014/ajot.2013.008102</w:t>
        </w:r>
      </w:hyperlink>
      <w:r w:rsidRPr="00197224">
        <w:rPr>
          <w:rFonts w:eastAsia="Times New Roman" w:cs="Times New Roman"/>
          <w:color w:val="000000"/>
          <w:kern w:val="0"/>
          <w:szCs w:val="24"/>
          <w14:ligatures w14:val="none"/>
        </w:rPr>
        <w:t> </w:t>
      </w:r>
    </w:p>
    <w:p w14:paraId="55E3F234" w14:textId="77777777" w:rsidR="00197224" w:rsidRDefault="00197224" w:rsidP="00197224">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 xml:space="preserve">Francis, G. L., </w:t>
      </w:r>
      <w:proofErr w:type="spellStart"/>
      <w:r w:rsidRPr="00197224">
        <w:rPr>
          <w:rFonts w:eastAsia="Times New Roman" w:cs="Times New Roman"/>
          <w:color w:val="000000"/>
          <w:kern w:val="0"/>
          <w:szCs w:val="24"/>
          <w14:ligatures w14:val="none"/>
        </w:rPr>
        <w:t>Regester</w:t>
      </w:r>
      <w:proofErr w:type="spellEnd"/>
      <w:r w:rsidRPr="00197224">
        <w:rPr>
          <w:rFonts w:eastAsia="Times New Roman" w:cs="Times New Roman"/>
          <w:color w:val="000000"/>
          <w:kern w:val="0"/>
          <w:szCs w:val="24"/>
          <w14:ligatures w14:val="none"/>
        </w:rPr>
        <w:t xml:space="preserve">, A., &amp; Reed, A. S. (2019). Barriers and </w:t>
      </w:r>
      <w:proofErr w:type="gramStart"/>
      <w:r w:rsidRPr="00197224">
        <w:rPr>
          <w:rFonts w:eastAsia="Times New Roman" w:cs="Times New Roman"/>
          <w:color w:val="000000"/>
          <w:kern w:val="0"/>
          <w:szCs w:val="24"/>
          <w14:ligatures w14:val="none"/>
        </w:rPr>
        <w:t>supports to</w:t>
      </w:r>
      <w:proofErr w:type="gramEnd"/>
      <w:r w:rsidRPr="00197224">
        <w:rPr>
          <w:rFonts w:eastAsia="Times New Roman" w:cs="Times New Roman"/>
          <w:color w:val="000000"/>
          <w:kern w:val="0"/>
          <w:szCs w:val="24"/>
          <w14:ligatures w14:val="none"/>
        </w:rPr>
        <w:t xml:space="preserve"> parent involvement and collaboration during transition to adulthood. </w:t>
      </w:r>
      <w:r w:rsidRPr="00197224">
        <w:rPr>
          <w:rFonts w:eastAsia="Times New Roman" w:cs="Times New Roman"/>
          <w:i/>
          <w:iCs/>
          <w:color w:val="000000"/>
          <w:kern w:val="0"/>
          <w:szCs w:val="24"/>
          <w14:ligatures w14:val="none"/>
        </w:rPr>
        <w:t>Career Development and Transition for Exceptional Individuals</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42</w:t>
      </w:r>
      <w:r w:rsidRPr="00197224">
        <w:rPr>
          <w:rFonts w:eastAsia="Times New Roman" w:cs="Times New Roman"/>
          <w:color w:val="000000"/>
          <w:kern w:val="0"/>
          <w:szCs w:val="24"/>
          <w14:ligatures w14:val="none"/>
        </w:rPr>
        <w:t>(4), 235–245.</w:t>
      </w:r>
      <w:hyperlink r:id="rId17" w:history="1">
        <w:r w:rsidRPr="00197224">
          <w:rPr>
            <w:rFonts w:eastAsia="Times New Roman" w:cs="Times New Roman"/>
            <w:color w:val="000000"/>
            <w:kern w:val="0"/>
            <w:szCs w:val="24"/>
            <w:u w:val="single"/>
            <w14:ligatures w14:val="none"/>
          </w:rPr>
          <w:t xml:space="preserve"> </w:t>
        </w:r>
        <w:r w:rsidRPr="00197224">
          <w:rPr>
            <w:rFonts w:eastAsia="Times New Roman" w:cs="Times New Roman"/>
            <w:color w:val="1155CC"/>
            <w:kern w:val="0"/>
            <w:szCs w:val="24"/>
            <w:u w:val="single"/>
            <w14:ligatures w14:val="none"/>
          </w:rPr>
          <w:t>https://doi.org/10.1177/2165143418813912</w:t>
        </w:r>
      </w:hyperlink>
    </w:p>
    <w:p w14:paraId="658ED389" w14:textId="7307FBB5" w:rsidR="0036199D" w:rsidRPr="00197224" w:rsidRDefault="0036199D" w:rsidP="0036199D">
      <w:pPr>
        <w:spacing w:line="480" w:lineRule="auto"/>
        <w:ind w:left="720" w:hanging="720"/>
        <w:rPr>
          <w:rFonts w:eastAsia="Times New Roman" w:cs="Times New Roman"/>
          <w:kern w:val="0"/>
          <w:szCs w:val="24"/>
          <w14:ligatures w14:val="none"/>
        </w:rPr>
      </w:pPr>
      <w:r w:rsidRPr="00481B3C">
        <w:rPr>
          <w:rFonts w:eastAsia="Times New Roman" w:cs="Times New Roman"/>
          <w:kern w:val="0"/>
          <w:szCs w:val="24"/>
          <w14:ligatures w14:val="none"/>
        </w:rPr>
        <w:t xml:space="preserve">Gauthier‐Boudreault, C., Couture, M., &amp; Gallagher, F. (2018). How to facilitate transition to adulthood? Innovative solutions from parents of young adults with profound intellectual disability. </w:t>
      </w:r>
      <w:r w:rsidRPr="00481B3C">
        <w:rPr>
          <w:rFonts w:eastAsia="Times New Roman" w:cs="Times New Roman"/>
          <w:i/>
          <w:iCs/>
          <w:kern w:val="0"/>
          <w:szCs w:val="24"/>
          <w14:ligatures w14:val="none"/>
        </w:rPr>
        <w:t>Journal of Applied Research in Intellectual Disabilities</w:t>
      </w:r>
      <w:r w:rsidRPr="00481B3C">
        <w:rPr>
          <w:rFonts w:eastAsia="Times New Roman" w:cs="Times New Roman"/>
          <w:kern w:val="0"/>
          <w:szCs w:val="24"/>
          <w14:ligatures w14:val="none"/>
        </w:rPr>
        <w:t xml:space="preserve">, </w:t>
      </w:r>
      <w:r w:rsidRPr="00481B3C">
        <w:rPr>
          <w:rFonts w:eastAsia="Times New Roman" w:cs="Times New Roman"/>
          <w:i/>
          <w:iCs/>
          <w:kern w:val="0"/>
          <w:szCs w:val="24"/>
          <w14:ligatures w14:val="none"/>
        </w:rPr>
        <w:t>31</w:t>
      </w:r>
      <w:r w:rsidRPr="00481B3C">
        <w:rPr>
          <w:rFonts w:eastAsia="Times New Roman" w:cs="Times New Roman"/>
          <w:kern w:val="0"/>
          <w:szCs w:val="24"/>
          <w14:ligatures w14:val="none"/>
        </w:rPr>
        <w:t xml:space="preserve">(S2), 215–223. </w:t>
      </w:r>
      <w:hyperlink r:id="rId18" w:history="1">
        <w:r w:rsidRPr="00481B3C">
          <w:rPr>
            <w:rStyle w:val="Hyperlink"/>
            <w:rFonts w:eastAsia="Times New Roman" w:cs="Times New Roman"/>
            <w:kern w:val="0"/>
            <w:szCs w:val="24"/>
            <w14:ligatures w14:val="none"/>
          </w:rPr>
          <w:t>https://doi.org/10.1111/jar.12394</w:t>
        </w:r>
      </w:hyperlink>
      <w:r>
        <w:rPr>
          <w:rFonts w:eastAsia="Times New Roman" w:cs="Times New Roman"/>
          <w:kern w:val="0"/>
          <w:szCs w:val="24"/>
          <w14:ligatures w14:val="none"/>
        </w:rPr>
        <w:t xml:space="preserve"> </w:t>
      </w:r>
    </w:p>
    <w:p w14:paraId="24CFA609" w14:textId="77777777" w:rsidR="00197224" w:rsidRPr="00197224" w:rsidRDefault="00197224" w:rsidP="0036199D">
      <w:pPr>
        <w:spacing w:line="480" w:lineRule="auto"/>
        <w:ind w:left="720" w:hanging="720"/>
        <w:rPr>
          <w:rFonts w:eastAsia="Times New Roman" w:cs="Times New Roman"/>
          <w:kern w:val="0"/>
          <w:szCs w:val="24"/>
          <w:lang w:val="da-DK"/>
          <w14:ligatures w14:val="none"/>
        </w:rPr>
      </w:pPr>
      <w:r w:rsidRPr="00197224">
        <w:rPr>
          <w:rFonts w:eastAsia="Times New Roman" w:cs="Times New Roman"/>
          <w:color w:val="000000"/>
          <w:kern w:val="0"/>
          <w:szCs w:val="24"/>
          <w14:ligatures w14:val="none"/>
        </w:rPr>
        <w:t xml:space="preserve">Harr, N., Dunn, L., &amp; Price, P. (2011). Case study on </w:t>
      </w:r>
      <w:proofErr w:type="gramStart"/>
      <w:r w:rsidRPr="00197224">
        <w:rPr>
          <w:rFonts w:eastAsia="Times New Roman" w:cs="Times New Roman"/>
          <w:color w:val="000000"/>
          <w:kern w:val="0"/>
          <w:szCs w:val="24"/>
          <w14:ligatures w14:val="none"/>
        </w:rPr>
        <w:t>effect</w:t>
      </w:r>
      <w:proofErr w:type="gramEnd"/>
      <w:r w:rsidRPr="00197224">
        <w:rPr>
          <w:rFonts w:eastAsia="Times New Roman" w:cs="Times New Roman"/>
          <w:color w:val="000000"/>
          <w:kern w:val="0"/>
          <w:szCs w:val="24"/>
          <w14:ligatures w14:val="none"/>
        </w:rPr>
        <w:t xml:space="preserve"> of household task participation on home, community, and work opportunities for a youth with multiple disabilities. </w:t>
      </w:r>
      <w:r w:rsidRPr="00197224">
        <w:rPr>
          <w:rFonts w:eastAsia="Times New Roman" w:cs="Times New Roman"/>
          <w:i/>
          <w:iCs/>
          <w:color w:val="000000"/>
          <w:kern w:val="0"/>
          <w:szCs w:val="24"/>
          <w:lang w:val="da-DK"/>
          <w14:ligatures w14:val="none"/>
        </w:rPr>
        <w:t>Work</w:t>
      </w:r>
      <w:r w:rsidRPr="00197224">
        <w:rPr>
          <w:rFonts w:eastAsia="Times New Roman" w:cs="Times New Roman"/>
          <w:color w:val="000000"/>
          <w:kern w:val="0"/>
          <w:szCs w:val="24"/>
          <w:lang w:val="da-DK"/>
          <w14:ligatures w14:val="none"/>
        </w:rPr>
        <w:t xml:space="preserve">, </w:t>
      </w:r>
      <w:r w:rsidRPr="00197224">
        <w:rPr>
          <w:rFonts w:eastAsia="Times New Roman" w:cs="Times New Roman"/>
          <w:i/>
          <w:iCs/>
          <w:color w:val="000000"/>
          <w:kern w:val="0"/>
          <w:szCs w:val="24"/>
          <w:lang w:val="da-DK"/>
          <w14:ligatures w14:val="none"/>
        </w:rPr>
        <w:t>39</w:t>
      </w:r>
      <w:r w:rsidRPr="00197224">
        <w:rPr>
          <w:rFonts w:eastAsia="Times New Roman" w:cs="Times New Roman"/>
          <w:color w:val="000000"/>
          <w:kern w:val="0"/>
          <w:szCs w:val="24"/>
          <w:lang w:val="da-DK"/>
          <w14:ligatures w14:val="none"/>
        </w:rPr>
        <w:t xml:space="preserve">(4), 445–453. </w:t>
      </w:r>
      <w:r w:rsidR="00000000">
        <w:fldChar w:fldCharType="begin"/>
      </w:r>
      <w:r w:rsidR="00000000" w:rsidRPr="004A056B">
        <w:rPr>
          <w:lang w:val="da-DK"/>
        </w:rPr>
        <w:instrText>HYPERLINK "https://doi.org/10.3233/WOR-2011-1194"</w:instrText>
      </w:r>
      <w:r w:rsidR="00000000">
        <w:fldChar w:fldCharType="separate"/>
      </w:r>
      <w:r w:rsidRPr="00197224">
        <w:rPr>
          <w:rFonts w:eastAsia="Times New Roman" w:cs="Times New Roman"/>
          <w:color w:val="467886"/>
          <w:kern w:val="0"/>
          <w:szCs w:val="24"/>
          <w:u w:val="single"/>
          <w:lang w:val="da-DK"/>
          <w14:ligatures w14:val="none"/>
        </w:rPr>
        <w:t>https://doi.org/10.3233/WOR-2011-1194</w:t>
      </w:r>
      <w:r w:rsidR="00000000">
        <w:rPr>
          <w:rFonts w:eastAsia="Times New Roman" w:cs="Times New Roman"/>
          <w:color w:val="467886"/>
          <w:kern w:val="0"/>
          <w:szCs w:val="24"/>
          <w:u w:val="single"/>
          <w:lang w:val="da-DK"/>
          <w14:ligatures w14:val="none"/>
        </w:rPr>
        <w:fldChar w:fldCharType="end"/>
      </w:r>
      <w:r w:rsidRPr="00197224">
        <w:rPr>
          <w:rFonts w:eastAsia="Times New Roman" w:cs="Times New Roman"/>
          <w:color w:val="000000"/>
          <w:kern w:val="0"/>
          <w:szCs w:val="24"/>
          <w:lang w:val="da-DK"/>
          <w14:ligatures w14:val="none"/>
        </w:rPr>
        <w:t> </w:t>
      </w:r>
    </w:p>
    <w:p w14:paraId="4D216562" w14:textId="77777777" w:rsidR="00197224" w:rsidRPr="00197224" w:rsidRDefault="00197224" w:rsidP="00197224">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lang w:val="da-DK"/>
          <w14:ligatures w14:val="none"/>
        </w:rPr>
        <w:t xml:space="preserve">Jansen-van Vuuren, J., &amp; Aldersey, H. M. (2020). </w:t>
      </w:r>
      <w:r w:rsidRPr="00197224">
        <w:rPr>
          <w:rFonts w:eastAsia="Times New Roman" w:cs="Times New Roman"/>
          <w:color w:val="000000"/>
          <w:kern w:val="0"/>
          <w:szCs w:val="24"/>
          <w14:ligatures w14:val="none"/>
        </w:rPr>
        <w:t xml:space="preserve">Stigma, acceptance and belonging for people with IDD across cultures. </w:t>
      </w:r>
      <w:r w:rsidRPr="00197224">
        <w:rPr>
          <w:rFonts w:eastAsia="Times New Roman" w:cs="Times New Roman"/>
          <w:i/>
          <w:iCs/>
          <w:color w:val="000000"/>
          <w:kern w:val="0"/>
          <w:szCs w:val="24"/>
          <w14:ligatures w14:val="none"/>
        </w:rPr>
        <w:t>Current Developmental Disorders Reports</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7</w:t>
      </w:r>
      <w:r w:rsidRPr="00197224">
        <w:rPr>
          <w:rFonts w:eastAsia="Times New Roman" w:cs="Times New Roman"/>
          <w:color w:val="000000"/>
          <w:kern w:val="0"/>
          <w:szCs w:val="24"/>
          <w14:ligatures w14:val="none"/>
        </w:rPr>
        <w:t xml:space="preserve">(3), 163–172. </w:t>
      </w:r>
      <w:hyperlink r:id="rId19" w:history="1">
        <w:r w:rsidRPr="00197224">
          <w:rPr>
            <w:rFonts w:eastAsia="Times New Roman" w:cs="Times New Roman"/>
            <w:color w:val="467886"/>
            <w:kern w:val="0"/>
            <w:szCs w:val="24"/>
            <w:u w:val="single"/>
            <w14:ligatures w14:val="none"/>
          </w:rPr>
          <w:t>https://doi.org/10.1007/s40474-020-00206-w</w:t>
        </w:r>
      </w:hyperlink>
      <w:r w:rsidRPr="00197224">
        <w:rPr>
          <w:rFonts w:eastAsia="Times New Roman" w:cs="Times New Roman"/>
          <w:color w:val="000000"/>
          <w:kern w:val="0"/>
          <w:szCs w:val="24"/>
          <w14:ligatures w14:val="none"/>
        </w:rPr>
        <w:t> </w:t>
      </w:r>
    </w:p>
    <w:p w14:paraId="153B50B2" w14:textId="77777777" w:rsidR="00197224" w:rsidRPr="00197224" w:rsidRDefault="00197224" w:rsidP="00197224">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 xml:space="preserve">Josman, N., Ben-Chaim, H. M., Friedrich, S., &amp; Weiss, P. L. (2008). Effectiveness of virtual reality for teaching street-crossing skills to children and adolescents with autism. </w:t>
      </w:r>
      <w:r w:rsidRPr="00197224">
        <w:rPr>
          <w:rFonts w:eastAsia="Times New Roman" w:cs="Times New Roman"/>
          <w:i/>
          <w:iCs/>
          <w:color w:val="000000"/>
          <w:kern w:val="0"/>
          <w:szCs w:val="24"/>
          <w14:ligatures w14:val="none"/>
        </w:rPr>
        <w:t>International Journal on Disability and Human Development</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7</w:t>
      </w:r>
      <w:r w:rsidRPr="00197224">
        <w:rPr>
          <w:rFonts w:eastAsia="Times New Roman" w:cs="Times New Roman"/>
          <w:color w:val="000000"/>
          <w:kern w:val="0"/>
          <w:szCs w:val="24"/>
          <w14:ligatures w14:val="none"/>
        </w:rPr>
        <w:t xml:space="preserve">(1), 49–56. </w:t>
      </w:r>
      <w:hyperlink r:id="rId20" w:history="1">
        <w:r w:rsidRPr="00197224">
          <w:rPr>
            <w:rFonts w:eastAsia="Times New Roman" w:cs="Times New Roman"/>
            <w:color w:val="1155CC"/>
            <w:kern w:val="0"/>
            <w:szCs w:val="24"/>
            <w:u w:val="single"/>
            <w14:ligatures w14:val="none"/>
          </w:rPr>
          <w:t>https://doi.org/10.1515/IJDHD.2008.7.1.49</w:t>
        </w:r>
      </w:hyperlink>
      <w:r w:rsidRPr="00197224">
        <w:rPr>
          <w:rFonts w:eastAsia="Times New Roman" w:cs="Times New Roman"/>
          <w:color w:val="000000"/>
          <w:kern w:val="0"/>
          <w:szCs w:val="24"/>
          <w14:ligatures w14:val="none"/>
        </w:rPr>
        <w:t> </w:t>
      </w:r>
    </w:p>
    <w:p w14:paraId="1F938C51" w14:textId="77777777" w:rsidR="00197224" w:rsidRDefault="00197224" w:rsidP="00197224">
      <w:pPr>
        <w:spacing w:line="480" w:lineRule="auto"/>
        <w:ind w:left="720" w:hanging="720"/>
        <w:rPr>
          <w:rFonts w:eastAsia="Times New Roman" w:cs="Times New Roman"/>
          <w:color w:val="000000"/>
          <w:kern w:val="0"/>
          <w:szCs w:val="24"/>
          <w14:ligatures w14:val="none"/>
        </w:rPr>
      </w:pPr>
      <w:r w:rsidRPr="00197224">
        <w:rPr>
          <w:rFonts w:eastAsia="Times New Roman" w:cs="Times New Roman"/>
          <w:color w:val="000000"/>
          <w:kern w:val="0"/>
          <w:szCs w:val="24"/>
          <w14:ligatures w14:val="none"/>
        </w:rPr>
        <w:t xml:space="preserve">King, G., Kingsnorth, S., Morrison, A., Gorter, J. W., </w:t>
      </w:r>
      <w:proofErr w:type="spellStart"/>
      <w:r w:rsidRPr="00197224">
        <w:rPr>
          <w:rFonts w:eastAsia="Times New Roman" w:cs="Times New Roman"/>
          <w:color w:val="000000"/>
          <w:kern w:val="0"/>
          <w:szCs w:val="24"/>
          <w14:ligatures w14:val="none"/>
        </w:rPr>
        <w:t>DeFinney</w:t>
      </w:r>
      <w:proofErr w:type="spellEnd"/>
      <w:r w:rsidRPr="00197224">
        <w:rPr>
          <w:rFonts w:eastAsia="Times New Roman" w:cs="Times New Roman"/>
          <w:color w:val="000000"/>
          <w:kern w:val="0"/>
          <w:szCs w:val="24"/>
          <w14:ligatures w14:val="none"/>
        </w:rPr>
        <w:t xml:space="preserve">, A., &amp; Kehl, B. (2021). Parents’ perceptions of the foundational and emergent benefits of residential immersive life skills </w:t>
      </w:r>
      <w:r w:rsidRPr="00197224">
        <w:rPr>
          <w:rFonts w:eastAsia="Times New Roman" w:cs="Times New Roman"/>
          <w:color w:val="000000"/>
          <w:kern w:val="0"/>
          <w:szCs w:val="24"/>
          <w14:ligatures w14:val="none"/>
        </w:rPr>
        <w:lastRenderedPageBreak/>
        <w:t xml:space="preserve">programs for youth with disabilities. </w:t>
      </w:r>
      <w:r w:rsidRPr="00197224">
        <w:rPr>
          <w:rFonts w:eastAsia="Times New Roman" w:cs="Times New Roman"/>
          <w:i/>
          <w:iCs/>
          <w:color w:val="000000"/>
          <w:kern w:val="0"/>
          <w:szCs w:val="24"/>
          <w14:ligatures w14:val="none"/>
        </w:rPr>
        <w:t>Research in Developmental Disabilities</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110</w:t>
      </w:r>
      <w:r w:rsidRPr="00197224">
        <w:rPr>
          <w:rFonts w:eastAsia="Times New Roman" w:cs="Times New Roman"/>
          <w:color w:val="000000"/>
          <w:kern w:val="0"/>
          <w:szCs w:val="24"/>
          <w14:ligatures w14:val="none"/>
        </w:rPr>
        <w:t xml:space="preserve">, 103857. </w:t>
      </w:r>
      <w:hyperlink r:id="rId21" w:history="1">
        <w:r w:rsidRPr="00197224">
          <w:rPr>
            <w:rFonts w:eastAsia="Times New Roman" w:cs="Times New Roman"/>
            <w:color w:val="467886"/>
            <w:kern w:val="0"/>
            <w:szCs w:val="24"/>
            <w:u w:val="single"/>
            <w14:ligatures w14:val="none"/>
          </w:rPr>
          <w:t>https://doi.org/10.1016/j.ridd.2021.103857</w:t>
        </w:r>
      </w:hyperlink>
      <w:r w:rsidRPr="00197224">
        <w:rPr>
          <w:rFonts w:eastAsia="Times New Roman" w:cs="Times New Roman"/>
          <w:color w:val="000000"/>
          <w:kern w:val="0"/>
          <w:szCs w:val="24"/>
          <w14:ligatures w14:val="none"/>
        </w:rPr>
        <w:t> </w:t>
      </w:r>
    </w:p>
    <w:p w14:paraId="0D7AAAA3" w14:textId="078199C3" w:rsidR="00197224" w:rsidRPr="00197224" w:rsidRDefault="00197224" w:rsidP="00197224">
      <w:pPr>
        <w:spacing w:line="480" w:lineRule="auto"/>
        <w:ind w:left="720" w:hanging="720"/>
        <w:rPr>
          <w:rFonts w:eastAsia="Times New Roman" w:cs="Times New Roman"/>
          <w:szCs w:val="24"/>
        </w:rPr>
      </w:pPr>
      <w:bookmarkStart w:id="3" w:name="_Hlk150520684"/>
      <w:r w:rsidRPr="008708CC">
        <w:rPr>
          <w:rFonts w:eastAsia="Times New Roman" w:cs="Times New Roman"/>
          <w:szCs w:val="24"/>
        </w:rPr>
        <w:t xml:space="preserve">Leonard, H., Foley, K.-R., </w:t>
      </w:r>
      <w:proofErr w:type="spellStart"/>
      <w:r w:rsidRPr="008708CC">
        <w:rPr>
          <w:rFonts w:eastAsia="Times New Roman" w:cs="Times New Roman"/>
          <w:szCs w:val="24"/>
        </w:rPr>
        <w:t>Pikora</w:t>
      </w:r>
      <w:proofErr w:type="spellEnd"/>
      <w:r w:rsidRPr="008708CC">
        <w:rPr>
          <w:rFonts w:eastAsia="Times New Roman" w:cs="Times New Roman"/>
          <w:szCs w:val="24"/>
        </w:rPr>
        <w:t xml:space="preserve">, T., Bourke, J., Wong, K., McPherson, L., Lennox, N., &amp; Downs, J. (2016). Transition to adulthood for young people with intellectual disability: the experiences of their families. </w:t>
      </w:r>
      <w:r w:rsidRPr="008708CC">
        <w:rPr>
          <w:rFonts w:eastAsia="Times New Roman" w:cs="Times New Roman"/>
          <w:i/>
          <w:iCs/>
          <w:szCs w:val="24"/>
        </w:rPr>
        <w:t>European Child &amp; Adolescent Psychiatry</w:t>
      </w:r>
      <w:r w:rsidRPr="008708CC">
        <w:rPr>
          <w:rFonts w:eastAsia="Times New Roman" w:cs="Times New Roman"/>
          <w:szCs w:val="24"/>
        </w:rPr>
        <w:t xml:space="preserve">, </w:t>
      </w:r>
      <w:r w:rsidRPr="008708CC">
        <w:rPr>
          <w:rFonts w:eastAsia="Times New Roman" w:cs="Times New Roman"/>
          <w:i/>
          <w:iCs/>
          <w:szCs w:val="24"/>
        </w:rPr>
        <w:t>25</w:t>
      </w:r>
      <w:r w:rsidRPr="008708CC">
        <w:rPr>
          <w:rFonts w:eastAsia="Times New Roman" w:cs="Times New Roman"/>
          <w:szCs w:val="24"/>
        </w:rPr>
        <w:t xml:space="preserve">(12), 1369–1381. </w:t>
      </w:r>
      <w:hyperlink r:id="rId22" w:history="1">
        <w:r w:rsidRPr="008708CC">
          <w:rPr>
            <w:rStyle w:val="Hyperlink"/>
            <w:rFonts w:eastAsia="Times New Roman" w:cs="Times New Roman"/>
            <w:szCs w:val="24"/>
          </w:rPr>
          <w:t>https://doi.org/10.1007/s00787-016-0853-2</w:t>
        </w:r>
      </w:hyperlink>
      <w:r>
        <w:rPr>
          <w:rFonts w:eastAsia="Times New Roman" w:cs="Times New Roman"/>
          <w:szCs w:val="24"/>
        </w:rPr>
        <w:t xml:space="preserve"> </w:t>
      </w:r>
      <w:bookmarkEnd w:id="3"/>
    </w:p>
    <w:p w14:paraId="7A7AB61F" w14:textId="77777777" w:rsidR="00197224" w:rsidRPr="00197224" w:rsidRDefault="00197224" w:rsidP="00197224">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 xml:space="preserve">Munsell, E. G. S., </w:t>
      </w:r>
      <w:proofErr w:type="spellStart"/>
      <w:r w:rsidRPr="00197224">
        <w:rPr>
          <w:rFonts w:eastAsia="Times New Roman" w:cs="Times New Roman"/>
          <w:color w:val="000000"/>
          <w:kern w:val="0"/>
          <w:szCs w:val="24"/>
          <w14:ligatures w14:val="none"/>
        </w:rPr>
        <w:t>Orsmond</w:t>
      </w:r>
      <w:proofErr w:type="spellEnd"/>
      <w:r w:rsidRPr="00197224">
        <w:rPr>
          <w:rFonts w:eastAsia="Times New Roman" w:cs="Times New Roman"/>
          <w:color w:val="000000"/>
          <w:kern w:val="0"/>
          <w:szCs w:val="24"/>
          <w14:ligatures w14:val="none"/>
        </w:rPr>
        <w:t xml:space="preserve">, G. I., Fulford, D., &amp; Coster, W. J. (2022). Self-management of daily life tasks in diploma-track youth with disabilities. </w:t>
      </w:r>
      <w:r w:rsidRPr="00197224">
        <w:rPr>
          <w:rFonts w:eastAsia="Times New Roman" w:cs="Times New Roman"/>
          <w:i/>
          <w:iCs/>
          <w:color w:val="000000"/>
          <w:kern w:val="0"/>
          <w:szCs w:val="24"/>
          <w14:ligatures w14:val="none"/>
        </w:rPr>
        <w:t>Disability and Rehabilitation</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44</w:t>
      </w:r>
      <w:r w:rsidRPr="00197224">
        <w:rPr>
          <w:rFonts w:eastAsia="Times New Roman" w:cs="Times New Roman"/>
          <w:color w:val="000000"/>
          <w:kern w:val="0"/>
          <w:szCs w:val="24"/>
          <w14:ligatures w14:val="none"/>
        </w:rPr>
        <w:t xml:space="preserve">(25), 8011–8021. </w:t>
      </w:r>
      <w:hyperlink r:id="rId23" w:history="1">
        <w:r w:rsidRPr="00197224">
          <w:rPr>
            <w:rFonts w:eastAsia="Times New Roman" w:cs="Times New Roman"/>
            <w:color w:val="1155CC"/>
            <w:kern w:val="0"/>
            <w:szCs w:val="24"/>
            <w:u w:val="single"/>
            <w14:ligatures w14:val="none"/>
          </w:rPr>
          <w:t>https://doi.org/10.1080/09638288.2021.2008524</w:t>
        </w:r>
      </w:hyperlink>
      <w:r w:rsidRPr="00197224">
        <w:rPr>
          <w:rFonts w:eastAsia="Times New Roman" w:cs="Times New Roman"/>
          <w:color w:val="000000"/>
          <w:kern w:val="0"/>
          <w:szCs w:val="24"/>
          <w14:ligatures w14:val="none"/>
        </w:rPr>
        <w:t> </w:t>
      </w:r>
    </w:p>
    <w:p w14:paraId="50A9B407" w14:textId="77777777" w:rsidR="00197224" w:rsidRDefault="00197224" w:rsidP="00197224">
      <w:pPr>
        <w:spacing w:line="480" w:lineRule="auto"/>
        <w:ind w:left="720" w:hanging="720"/>
        <w:rPr>
          <w:rFonts w:eastAsia="Times New Roman" w:cs="Times New Roman"/>
          <w:color w:val="000000"/>
          <w:kern w:val="0"/>
          <w:szCs w:val="24"/>
          <w14:ligatures w14:val="none"/>
        </w:rPr>
      </w:pPr>
      <w:r w:rsidRPr="00197224">
        <w:rPr>
          <w:rFonts w:eastAsia="Times New Roman" w:cs="Times New Roman"/>
          <w:color w:val="000000"/>
          <w:kern w:val="0"/>
          <w:szCs w:val="24"/>
          <w14:ligatures w14:val="none"/>
        </w:rPr>
        <w:t xml:space="preserve">O’Neill, K. V., &amp; Gutman, S. A. (2020). Facilitating the Postsecondary Transitions of Youth with Moderate Intellectual Disability: A Set of Guidelines for Occupational Therapy Practice. </w:t>
      </w:r>
      <w:r w:rsidRPr="00197224">
        <w:rPr>
          <w:rFonts w:eastAsia="Times New Roman" w:cs="Times New Roman"/>
          <w:i/>
          <w:iCs/>
          <w:color w:val="000000"/>
          <w:kern w:val="0"/>
          <w:szCs w:val="24"/>
          <w14:ligatures w14:val="none"/>
        </w:rPr>
        <w:t>Occupational Therapy in Mental Health</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36</w:t>
      </w:r>
      <w:r w:rsidRPr="00197224">
        <w:rPr>
          <w:rFonts w:eastAsia="Times New Roman" w:cs="Times New Roman"/>
          <w:color w:val="000000"/>
          <w:kern w:val="0"/>
          <w:szCs w:val="24"/>
          <w14:ligatures w14:val="none"/>
        </w:rPr>
        <w:t xml:space="preserve">(2), 119–144. </w:t>
      </w:r>
      <w:hyperlink r:id="rId24" w:history="1">
        <w:r w:rsidRPr="00197224">
          <w:rPr>
            <w:rFonts w:eastAsia="Times New Roman" w:cs="Times New Roman"/>
            <w:color w:val="467886"/>
            <w:kern w:val="0"/>
            <w:szCs w:val="24"/>
            <w:u w:val="single"/>
            <w14:ligatures w14:val="none"/>
          </w:rPr>
          <w:t>https://doi.org/10.1080/0164212X.2020.1725714</w:t>
        </w:r>
      </w:hyperlink>
      <w:r w:rsidRPr="00197224">
        <w:rPr>
          <w:rFonts w:eastAsia="Times New Roman" w:cs="Times New Roman"/>
          <w:color w:val="000000"/>
          <w:kern w:val="0"/>
          <w:szCs w:val="24"/>
          <w14:ligatures w14:val="none"/>
        </w:rPr>
        <w:t> </w:t>
      </w:r>
    </w:p>
    <w:p w14:paraId="2D73CEE2" w14:textId="5EF94CAC" w:rsidR="00B53C7F" w:rsidRDefault="00B53C7F" w:rsidP="00197224">
      <w:pPr>
        <w:spacing w:line="480" w:lineRule="auto"/>
        <w:ind w:left="720" w:hanging="720"/>
        <w:rPr>
          <w:color w:val="467886"/>
          <w:u w:val="single"/>
        </w:rPr>
      </w:pPr>
      <w:proofErr w:type="spellStart"/>
      <w:r w:rsidRPr="00B53C7F">
        <w:rPr>
          <w:color w:val="000000"/>
        </w:rPr>
        <w:t>Ouzzani</w:t>
      </w:r>
      <w:proofErr w:type="spellEnd"/>
      <w:r w:rsidRPr="00B53C7F">
        <w:rPr>
          <w:color w:val="000000"/>
        </w:rPr>
        <w:t xml:space="preserve">, M., Hammady, H., Fedorowicz, Z., &amp; </w:t>
      </w:r>
      <w:proofErr w:type="spellStart"/>
      <w:r w:rsidRPr="00B53C7F">
        <w:rPr>
          <w:color w:val="000000"/>
        </w:rPr>
        <w:t>Elmagarmid</w:t>
      </w:r>
      <w:proofErr w:type="spellEnd"/>
      <w:r w:rsidRPr="00B53C7F">
        <w:rPr>
          <w:color w:val="000000"/>
        </w:rPr>
        <w:t xml:space="preserve">, A. (2016). Rayyan: A web and mobile app for systematic reviews. </w:t>
      </w:r>
      <w:r w:rsidRPr="00B53C7F">
        <w:rPr>
          <w:i/>
          <w:iCs/>
          <w:color w:val="000000"/>
        </w:rPr>
        <w:t xml:space="preserve">Systematic Reviews 5, </w:t>
      </w:r>
      <w:r w:rsidRPr="00B53C7F">
        <w:rPr>
          <w:color w:val="000000"/>
        </w:rPr>
        <w:t xml:space="preserve">210. </w:t>
      </w:r>
      <w:hyperlink r:id="rId25" w:history="1">
        <w:r w:rsidRPr="00B53C7F">
          <w:rPr>
            <w:color w:val="467886"/>
            <w:u w:val="single"/>
          </w:rPr>
          <w:t>https://doi.org/10.1186/s13643-016-0384-4</w:t>
        </w:r>
      </w:hyperlink>
    </w:p>
    <w:p w14:paraId="79FC36E9" w14:textId="5C0A7B3B" w:rsidR="00B204D9" w:rsidRPr="00B204D9" w:rsidRDefault="00B204D9" w:rsidP="00B204D9">
      <w:pPr>
        <w:spacing w:line="480" w:lineRule="auto"/>
        <w:ind w:left="720" w:hanging="720"/>
        <w:contextualSpacing/>
        <w:rPr>
          <w:rFonts w:eastAsiaTheme="minorEastAsia"/>
          <w:color w:val="000000" w:themeColor="text1"/>
          <w:kern w:val="24"/>
        </w:rPr>
      </w:pPr>
      <w:r w:rsidRPr="00891339">
        <w:rPr>
          <w:rFonts w:eastAsiaTheme="minorEastAsia"/>
          <w:color w:val="000000" w:themeColor="text1"/>
          <w:kern w:val="24"/>
        </w:rPr>
        <w:t xml:space="preserve">Page, M. J., McKenzie, J. E., Bossuyt, P. M., </w:t>
      </w:r>
      <w:proofErr w:type="spellStart"/>
      <w:r w:rsidRPr="00891339">
        <w:rPr>
          <w:rFonts w:eastAsiaTheme="minorEastAsia"/>
          <w:color w:val="000000" w:themeColor="text1"/>
          <w:kern w:val="24"/>
        </w:rPr>
        <w:t>Boutron</w:t>
      </w:r>
      <w:proofErr w:type="spellEnd"/>
      <w:r w:rsidRPr="00891339">
        <w:rPr>
          <w:rFonts w:eastAsiaTheme="minorEastAsia"/>
          <w:color w:val="000000" w:themeColor="text1"/>
          <w:kern w:val="24"/>
        </w:rPr>
        <w:t xml:space="preserve">, I., Hoffmann, T. C., Mulrow, C. D., </w:t>
      </w:r>
      <w:proofErr w:type="spellStart"/>
      <w:r w:rsidRPr="00891339">
        <w:rPr>
          <w:rFonts w:eastAsiaTheme="minorEastAsia"/>
          <w:color w:val="000000" w:themeColor="text1"/>
          <w:kern w:val="24"/>
        </w:rPr>
        <w:t>Shamseer</w:t>
      </w:r>
      <w:proofErr w:type="spellEnd"/>
      <w:r w:rsidRPr="00891339">
        <w:rPr>
          <w:rFonts w:eastAsiaTheme="minorEastAsia"/>
          <w:color w:val="000000" w:themeColor="text1"/>
          <w:kern w:val="24"/>
        </w:rPr>
        <w:t xml:space="preserve">, L.,  Tetzlaff, J. M., Akl, E. A., Brennan, S. E., Chou, R., Glanville, J., Grimshaw, J. M., Hróbjartsson, A., Lalu, M. M., Li, T., Loder, E. W., Mayo-Wilson, E., McDonald, S., McGuinness, L. A., Stewart, L. A., Thomas, J., </w:t>
      </w:r>
      <w:proofErr w:type="spellStart"/>
      <w:r w:rsidRPr="00891339">
        <w:rPr>
          <w:rFonts w:eastAsiaTheme="minorEastAsia"/>
          <w:color w:val="000000" w:themeColor="text1"/>
          <w:kern w:val="24"/>
        </w:rPr>
        <w:t>Tricco</w:t>
      </w:r>
      <w:proofErr w:type="spellEnd"/>
      <w:r w:rsidRPr="00891339">
        <w:rPr>
          <w:rFonts w:eastAsiaTheme="minorEastAsia"/>
          <w:color w:val="000000" w:themeColor="text1"/>
          <w:kern w:val="24"/>
        </w:rPr>
        <w:t>, A. C.,  Welch, V. A., Whiting, P., &amp; Moher, D. (2021).  The PRISMA 2020 statement: An updated guideline for reporting systematic reviews</w:t>
      </w:r>
      <w:r w:rsidRPr="00891339">
        <w:rPr>
          <w:rFonts w:eastAsiaTheme="minorEastAsia"/>
          <w:i/>
          <w:iCs/>
          <w:color w:val="000000" w:themeColor="text1"/>
          <w:kern w:val="24"/>
        </w:rPr>
        <w:t>. The British Medical Journal, 372</w:t>
      </w:r>
      <w:r w:rsidRPr="00891339">
        <w:rPr>
          <w:rFonts w:eastAsiaTheme="minorEastAsia"/>
          <w:color w:val="000000" w:themeColor="text1"/>
          <w:kern w:val="24"/>
        </w:rPr>
        <w:t>(71),1-9. https://doi.org/10.1136/bmj.n71</w:t>
      </w:r>
    </w:p>
    <w:p w14:paraId="29CB1A51" w14:textId="6FBD606D" w:rsidR="00B204D9" w:rsidRDefault="00B204D9" w:rsidP="00B204D9">
      <w:pPr>
        <w:spacing w:line="480" w:lineRule="auto"/>
        <w:ind w:left="720" w:hanging="720"/>
        <w:contextualSpacing/>
        <w:rPr>
          <w:rFonts w:eastAsia="Calibri"/>
          <w:color w:val="000000" w:themeColor="text1"/>
          <w:kern w:val="24"/>
        </w:rPr>
      </w:pPr>
      <w:r w:rsidRPr="008F3115">
        <w:rPr>
          <w:rFonts w:eastAsiaTheme="minorEastAsia"/>
          <w:color w:val="000000" w:themeColor="text1"/>
          <w:kern w:val="24"/>
        </w:rPr>
        <w:lastRenderedPageBreak/>
        <w:t xml:space="preserve">Peters, M. D.  J., Godfrey, C., McInerney, P., Munn, Z., </w:t>
      </w:r>
      <w:proofErr w:type="spellStart"/>
      <w:r w:rsidRPr="008F3115">
        <w:rPr>
          <w:rFonts w:eastAsiaTheme="minorEastAsia"/>
          <w:color w:val="000000" w:themeColor="text1"/>
          <w:kern w:val="24"/>
        </w:rPr>
        <w:t>Tricco</w:t>
      </w:r>
      <w:proofErr w:type="spellEnd"/>
      <w:r w:rsidRPr="008F3115">
        <w:rPr>
          <w:rFonts w:eastAsiaTheme="minorEastAsia"/>
          <w:color w:val="000000" w:themeColor="text1"/>
          <w:kern w:val="24"/>
        </w:rPr>
        <w:t xml:space="preserve">, A. C., &amp; Khalil, H. (2020). Scoping reviews. In E.  </w:t>
      </w:r>
      <w:proofErr w:type="spellStart"/>
      <w:r w:rsidRPr="008F3115">
        <w:rPr>
          <w:rFonts w:eastAsia="Calibri"/>
          <w:color w:val="000000" w:themeColor="text1"/>
          <w:kern w:val="24"/>
        </w:rPr>
        <w:t>Aromataris</w:t>
      </w:r>
      <w:proofErr w:type="spellEnd"/>
      <w:r w:rsidRPr="008F3115">
        <w:rPr>
          <w:rFonts w:eastAsia="Calibri"/>
          <w:color w:val="000000" w:themeColor="text1"/>
          <w:kern w:val="24"/>
        </w:rPr>
        <w:t xml:space="preserve"> &amp; Z. Munn (Eds.) </w:t>
      </w:r>
      <w:r w:rsidRPr="008F3115">
        <w:rPr>
          <w:rFonts w:eastAsia="Calibri"/>
          <w:i/>
          <w:iCs/>
          <w:color w:val="000000" w:themeColor="text1"/>
          <w:kern w:val="24"/>
        </w:rPr>
        <w:t xml:space="preserve">JBI manual for evidence synthesis. </w:t>
      </w:r>
      <w:r w:rsidRPr="008F3115">
        <w:rPr>
          <w:rFonts w:eastAsia="Calibri"/>
          <w:color w:val="000000" w:themeColor="text1"/>
          <w:kern w:val="24"/>
        </w:rPr>
        <w:t xml:space="preserve">Joanna Briggs Institute. </w:t>
      </w:r>
      <w:hyperlink r:id="rId26" w:history="1">
        <w:r w:rsidRPr="008F3115">
          <w:rPr>
            <w:rFonts w:eastAsia="Calibri"/>
            <w:color w:val="000000" w:themeColor="text1"/>
            <w:kern w:val="24"/>
            <w:u w:val="single"/>
          </w:rPr>
          <w:t>https://jbi-global-wiki.refined.site/space/MANUAL</w:t>
        </w:r>
      </w:hyperlink>
      <w:r w:rsidRPr="008F3115">
        <w:rPr>
          <w:rFonts w:eastAsia="Calibri"/>
          <w:color w:val="000000" w:themeColor="text1"/>
          <w:kern w:val="24"/>
        </w:rPr>
        <w:t xml:space="preserve"> </w:t>
      </w:r>
    </w:p>
    <w:p w14:paraId="27CC4754" w14:textId="1A141BC4" w:rsidR="00B204D9" w:rsidRPr="00B204D9" w:rsidRDefault="00B204D9" w:rsidP="00B204D9">
      <w:pPr>
        <w:spacing w:line="480" w:lineRule="auto"/>
        <w:ind w:left="720" w:hanging="720"/>
        <w:contextualSpacing/>
        <w:rPr>
          <w:rFonts w:eastAsiaTheme="minorEastAsia"/>
          <w:color w:val="000000" w:themeColor="text1"/>
          <w:kern w:val="24"/>
          <w:u w:val="single"/>
        </w:rPr>
      </w:pPr>
      <w:proofErr w:type="spellStart"/>
      <w:r w:rsidRPr="008F3115">
        <w:rPr>
          <w:rFonts w:eastAsiaTheme="minorEastAsia"/>
          <w:color w:val="000000" w:themeColor="text1"/>
          <w:kern w:val="24"/>
        </w:rPr>
        <w:t>Tricco</w:t>
      </w:r>
      <w:proofErr w:type="spellEnd"/>
      <w:r w:rsidRPr="008F3115">
        <w:rPr>
          <w:rFonts w:eastAsiaTheme="minorEastAsia"/>
          <w:color w:val="000000" w:themeColor="text1"/>
          <w:kern w:val="24"/>
        </w:rPr>
        <w:t xml:space="preserve">,  A. C., Lillie, E., Zarin, W., O'Brien, K. K., Colquhoun, H., Levac, D., Moher, D., Peters, M., Horsley, T., Weeks, L., Hempel, S., Akl, E. A., Chang, C., McGowan, J., Stewart, L., Hartling, L., </w:t>
      </w:r>
      <w:proofErr w:type="spellStart"/>
      <w:r w:rsidRPr="008F3115">
        <w:rPr>
          <w:rFonts w:eastAsiaTheme="minorEastAsia"/>
          <w:color w:val="000000" w:themeColor="text1"/>
          <w:kern w:val="24"/>
        </w:rPr>
        <w:t>Aldcroft</w:t>
      </w:r>
      <w:proofErr w:type="spellEnd"/>
      <w:r w:rsidRPr="008F3115">
        <w:rPr>
          <w:rFonts w:eastAsiaTheme="minorEastAsia"/>
          <w:color w:val="000000" w:themeColor="text1"/>
          <w:kern w:val="24"/>
        </w:rPr>
        <w:t xml:space="preserve">, A., Wilson, M. G., </w:t>
      </w:r>
      <w:proofErr w:type="spellStart"/>
      <w:r w:rsidRPr="008F3115">
        <w:rPr>
          <w:rFonts w:eastAsiaTheme="minorEastAsia"/>
          <w:color w:val="000000" w:themeColor="text1"/>
          <w:kern w:val="24"/>
        </w:rPr>
        <w:t>Garritty</w:t>
      </w:r>
      <w:proofErr w:type="spellEnd"/>
      <w:r w:rsidRPr="008F3115">
        <w:rPr>
          <w:rFonts w:eastAsiaTheme="minorEastAsia"/>
          <w:color w:val="000000" w:themeColor="text1"/>
          <w:kern w:val="24"/>
        </w:rPr>
        <w:t>, C., Lewin, S., … Straus, S. E. (2018). PRISMA extension for scoping reviews (PRISMA-</w:t>
      </w:r>
      <w:proofErr w:type="spellStart"/>
      <w:r w:rsidRPr="008F3115">
        <w:rPr>
          <w:rFonts w:eastAsiaTheme="minorEastAsia"/>
          <w:color w:val="000000" w:themeColor="text1"/>
          <w:kern w:val="24"/>
        </w:rPr>
        <w:t>ScR</w:t>
      </w:r>
      <w:proofErr w:type="spellEnd"/>
      <w:r w:rsidRPr="008F3115">
        <w:rPr>
          <w:rFonts w:eastAsiaTheme="minorEastAsia"/>
          <w:color w:val="000000" w:themeColor="text1"/>
          <w:kern w:val="24"/>
        </w:rPr>
        <w:t xml:space="preserve">): Checklist and explanation.  </w:t>
      </w:r>
      <w:r w:rsidRPr="008F3115">
        <w:rPr>
          <w:rFonts w:eastAsiaTheme="minorEastAsia"/>
          <w:i/>
          <w:iCs/>
          <w:color w:val="000000" w:themeColor="text1"/>
          <w:kern w:val="24"/>
        </w:rPr>
        <w:t>Annals of Internal Medicine, 169(7</w:t>
      </w:r>
      <w:r w:rsidRPr="008F3115">
        <w:rPr>
          <w:rFonts w:eastAsiaTheme="minorEastAsia"/>
          <w:color w:val="000000" w:themeColor="text1"/>
          <w:kern w:val="24"/>
        </w:rPr>
        <w:t xml:space="preserve">), 467–473. </w:t>
      </w:r>
      <w:hyperlink r:id="rId27" w:history="1">
        <w:r w:rsidRPr="008F3115">
          <w:rPr>
            <w:rFonts w:eastAsiaTheme="minorEastAsia"/>
            <w:color w:val="000000" w:themeColor="text1"/>
            <w:kern w:val="24"/>
            <w:u w:val="single"/>
          </w:rPr>
          <w:t>https://doi.org/10.7326/M18-0850</w:t>
        </w:r>
      </w:hyperlink>
      <w:r>
        <w:rPr>
          <w:rFonts w:eastAsiaTheme="minorEastAsia"/>
          <w:color w:val="000000" w:themeColor="text1"/>
          <w:kern w:val="24"/>
          <w:u w:val="single"/>
        </w:rPr>
        <w:t xml:space="preserve"> </w:t>
      </w:r>
    </w:p>
    <w:p w14:paraId="196C589F" w14:textId="77777777" w:rsidR="00197224" w:rsidRDefault="00197224" w:rsidP="00197224">
      <w:pPr>
        <w:spacing w:line="480" w:lineRule="auto"/>
        <w:ind w:left="720" w:hanging="720"/>
        <w:rPr>
          <w:rFonts w:eastAsia="Times New Roman" w:cs="Times New Roman"/>
          <w:color w:val="000000"/>
          <w:kern w:val="0"/>
          <w:szCs w:val="24"/>
          <w14:ligatures w14:val="none"/>
        </w:rPr>
      </w:pPr>
      <w:r w:rsidRPr="004A056B">
        <w:rPr>
          <w:rFonts w:eastAsia="Times New Roman" w:cs="Times New Roman"/>
          <w:color w:val="000000"/>
          <w:kern w:val="0"/>
          <w:szCs w:val="24"/>
          <w:lang w:val="da-DK"/>
          <w14:ligatures w14:val="none"/>
        </w:rPr>
        <w:t xml:space="preserve">Waldman‐Levi, A., Golisz, K., Swierat, R. P., &amp; Toglia, J. (2019). </w:t>
      </w:r>
      <w:r w:rsidRPr="00197224">
        <w:rPr>
          <w:rFonts w:eastAsia="Times New Roman" w:cs="Times New Roman"/>
          <w:color w:val="000000"/>
          <w:kern w:val="0"/>
          <w:szCs w:val="24"/>
          <w14:ligatures w14:val="none"/>
        </w:rPr>
        <w:t xml:space="preserve">Scoping review: Interventions that promote functional performance for adolescents and adults with intellectual and developmental disabilities. </w:t>
      </w:r>
      <w:r w:rsidRPr="00197224">
        <w:rPr>
          <w:rFonts w:eastAsia="Times New Roman" w:cs="Times New Roman"/>
          <w:i/>
          <w:iCs/>
          <w:color w:val="000000"/>
          <w:kern w:val="0"/>
          <w:szCs w:val="24"/>
          <w14:ligatures w14:val="none"/>
        </w:rPr>
        <w:t>Australian Occupational Therapy Journal</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66</w:t>
      </w:r>
      <w:r w:rsidRPr="00197224">
        <w:rPr>
          <w:rFonts w:eastAsia="Times New Roman" w:cs="Times New Roman"/>
          <w:color w:val="000000"/>
          <w:kern w:val="0"/>
          <w:szCs w:val="24"/>
          <w14:ligatures w14:val="none"/>
        </w:rPr>
        <w:t xml:space="preserve">(4), 458–468. </w:t>
      </w:r>
      <w:hyperlink r:id="rId28" w:history="1">
        <w:r w:rsidRPr="00197224">
          <w:rPr>
            <w:rFonts w:eastAsia="Times New Roman" w:cs="Times New Roman"/>
            <w:color w:val="467886"/>
            <w:kern w:val="0"/>
            <w:szCs w:val="24"/>
            <w:u w:val="single"/>
            <w14:ligatures w14:val="none"/>
          </w:rPr>
          <w:t>https://doi.org/10.1111/1440-1630.12577</w:t>
        </w:r>
      </w:hyperlink>
      <w:r w:rsidRPr="00197224">
        <w:rPr>
          <w:rFonts w:eastAsia="Times New Roman" w:cs="Times New Roman"/>
          <w:color w:val="000000"/>
          <w:kern w:val="0"/>
          <w:szCs w:val="24"/>
          <w14:ligatures w14:val="none"/>
        </w:rPr>
        <w:t> </w:t>
      </w:r>
    </w:p>
    <w:p w14:paraId="4ABF94E8" w14:textId="2F96DE4A" w:rsidR="002F623E" w:rsidRDefault="002F623E" w:rsidP="002F623E">
      <w:pPr>
        <w:spacing w:line="480" w:lineRule="auto"/>
        <w:ind w:left="720" w:hanging="720"/>
        <w:rPr>
          <w:rFonts w:eastAsia="Times New Roman" w:cs="Times New Roman"/>
          <w:kern w:val="0"/>
          <w:szCs w:val="24"/>
          <w14:ligatures w14:val="none"/>
        </w:rPr>
      </w:pPr>
      <w:proofErr w:type="spellStart"/>
      <w:r w:rsidRPr="00D77A5A">
        <w:rPr>
          <w:rFonts w:eastAsia="Times New Roman" w:cs="Times New Roman"/>
          <w:kern w:val="0"/>
          <w:szCs w:val="24"/>
          <w14:ligatures w14:val="none"/>
        </w:rPr>
        <w:t>Wilczenski</w:t>
      </w:r>
      <w:proofErr w:type="spellEnd"/>
      <w:r w:rsidRPr="00D77A5A">
        <w:rPr>
          <w:rFonts w:eastAsia="Times New Roman" w:cs="Times New Roman"/>
          <w:kern w:val="0"/>
          <w:szCs w:val="24"/>
          <w14:ligatures w14:val="none"/>
        </w:rPr>
        <w:t xml:space="preserve">, F. L., Cook, A. L., &amp; Regal, C. P. (2017). Rethinking </w:t>
      </w:r>
      <w:r>
        <w:rPr>
          <w:rFonts w:eastAsia="Times New Roman" w:cs="Times New Roman"/>
          <w:kern w:val="0"/>
          <w:szCs w:val="24"/>
          <w14:ligatures w14:val="none"/>
        </w:rPr>
        <w:t>c</w:t>
      </w:r>
      <w:r w:rsidRPr="00D77A5A">
        <w:rPr>
          <w:rFonts w:eastAsia="Times New Roman" w:cs="Times New Roman"/>
          <w:kern w:val="0"/>
          <w:szCs w:val="24"/>
          <w14:ligatures w14:val="none"/>
        </w:rPr>
        <w:t xml:space="preserve">ollege: Roles for </w:t>
      </w:r>
      <w:r>
        <w:rPr>
          <w:rFonts w:eastAsia="Times New Roman" w:cs="Times New Roman"/>
          <w:kern w:val="0"/>
          <w:szCs w:val="24"/>
          <w14:ligatures w14:val="none"/>
        </w:rPr>
        <w:t>s</w:t>
      </w:r>
      <w:r w:rsidRPr="00D77A5A">
        <w:rPr>
          <w:rFonts w:eastAsia="Times New Roman" w:cs="Times New Roman"/>
          <w:kern w:val="0"/>
          <w:szCs w:val="24"/>
          <w14:ligatures w14:val="none"/>
        </w:rPr>
        <w:t xml:space="preserve">chool </w:t>
      </w:r>
      <w:r>
        <w:rPr>
          <w:rFonts w:eastAsia="Times New Roman" w:cs="Times New Roman"/>
          <w:kern w:val="0"/>
          <w:szCs w:val="24"/>
          <w14:ligatures w14:val="none"/>
        </w:rPr>
        <w:t>p</w:t>
      </w:r>
      <w:r w:rsidRPr="00D77A5A">
        <w:rPr>
          <w:rFonts w:eastAsia="Times New Roman" w:cs="Times New Roman"/>
          <w:kern w:val="0"/>
          <w:szCs w:val="24"/>
          <w14:ligatures w14:val="none"/>
        </w:rPr>
        <w:t>sychologists in</w:t>
      </w:r>
      <w:r>
        <w:rPr>
          <w:rFonts w:eastAsia="Times New Roman" w:cs="Times New Roman"/>
          <w:kern w:val="0"/>
          <w:szCs w:val="24"/>
          <w14:ligatures w14:val="none"/>
        </w:rPr>
        <w:t xml:space="preserve"> t</w:t>
      </w:r>
      <w:r w:rsidRPr="00D77A5A">
        <w:rPr>
          <w:rFonts w:eastAsia="Times New Roman" w:cs="Times New Roman"/>
          <w:kern w:val="0"/>
          <w:szCs w:val="24"/>
          <w14:ligatures w14:val="none"/>
        </w:rPr>
        <w:t xml:space="preserve">ransition </w:t>
      </w:r>
      <w:r>
        <w:rPr>
          <w:rFonts w:eastAsia="Times New Roman" w:cs="Times New Roman"/>
          <w:kern w:val="0"/>
          <w:szCs w:val="24"/>
          <w14:ligatures w14:val="none"/>
        </w:rPr>
        <w:t>p</w:t>
      </w:r>
      <w:r w:rsidRPr="00D77A5A">
        <w:rPr>
          <w:rFonts w:eastAsia="Times New Roman" w:cs="Times New Roman"/>
          <w:kern w:val="0"/>
          <w:szCs w:val="24"/>
          <w14:ligatures w14:val="none"/>
        </w:rPr>
        <w:t xml:space="preserve">lanning for </w:t>
      </w:r>
      <w:r>
        <w:rPr>
          <w:rFonts w:eastAsia="Times New Roman" w:cs="Times New Roman"/>
          <w:kern w:val="0"/>
          <w:szCs w:val="24"/>
          <w14:ligatures w14:val="none"/>
        </w:rPr>
        <w:t>s</w:t>
      </w:r>
      <w:r w:rsidRPr="00D77A5A">
        <w:rPr>
          <w:rFonts w:eastAsia="Times New Roman" w:cs="Times New Roman"/>
          <w:kern w:val="0"/>
          <w:szCs w:val="24"/>
          <w14:ligatures w14:val="none"/>
        </w:rPr>
        <w:t xml:space="preserve">tudents with </w:t>
      </w:r>
      <w:r>
        <w:rPr>
          <w:rFonts w:eastAsia="Times New Roman" w:cs="Times New Roman"/>
          <w:kern w:val="0"/>
          <w:szCs w:val="24"/>
          <w14:ligatures w14:val="none"/>
        </w:rPr>
        <w:t>i</w:t>
      </w:r>
      <w:r w:rsidRPr="00D77A5A">
        <w:rPr>
          <w:rFonts w:eastAsia="Times New Roman" w:cs="Times New Roman"/>
          <w:kern w:val="0"/>
          <w:szCs w:val="24"/>
          <w14:ligatures w14:val="none"/>
        </w:rPr>
        <w:t xml:space="preserve">ntellectual </w:t>
      </w:r>
      <w:r>
        <w:rPr>
          <w:rFonts w:eastAsia="Times New Roman" w:cs="Times New Roman"/>
          <w:kern w:val="0"/>
          <w:szCs w:val="24"/>
          <w14:ligatures w14:val="none"/>
        </w:rPr>
        <w:t>d</w:t>
      </w:r>
      <w:r w:rsidRPr="00D77A5A">
        <w:rPr>
          <w:rFonts w:eastAsia="Times New Roman" w:cs="Times New Roman"/>
          <w:kern w:val="0"/>
          <w:szCs w:val="24"/>
          <w14:ligatures w14:val="none"/>
        </w:rPr>
        <w:t xml:space="preserve">isability. </w:t>
      </w:r>
      <w:r w:rsidRPr="00D77A5A">
        <w:rPr>
          <w:rFonts w:eastAsia="Times New Roman" w:cs="Times New Roman"/>
          <w:i/>
          <w:iCs/>
          <w:kern w:val="0"/>
          <w:szCs w:val="24"/>
          <w14:ligatures w14:val="none"/>
        </w:rPr>
        <w:t>Contemporary School Psychology</w:t>
      </w:r>
      <w:r w:rsidRPr="00D77A5A">
        <w:rPr>
          <w:rFonts w:eastAsia="Times New Roman" w:cs="Times New Roman"/>
          <w:kern w:val="0"/>
          <w:szCs w:val="24"/>
          <w14:ligatures w14:val="none"/>
        </w:rPr>
        <w:t xml:space="preserve">, </w:t>
      </w:r>
      <w:r w:rsidRPr="00D77A5A">
        <w:rPr>
          <w:rFonts w:eastAsia="Times New Roman" w:cs="Times New Roman"/>
          <w:i/>
          <w:iCs/>
          <w:kern w:val="0"/>
          <w:szCs w:val="24"/>
          <w14:ligatures w14:val="none"/>
        </w:rPr>
        <w:t>21</w:t>
      </w:r>
      <w:r w:rsidRPr="00D77A5A">
        <w:rPr>
          <w:rFonts w:eastAsia="Times New Roman" w:cs="Times New Roman"/>
          <w:kern w:val="0"/>
          <w:szCs w:val="24"/>
          <w14:ligatures w14:val="none"/>
        </w:rPr>
        <w:t xml:space="preserve">(1), 71–79. </w:t>
      </w:r>
      <w:hyperlink r:id="rId29" w:history="1">
        <w:r w:rsidRPr="00D77A5A">
          <w:rPr>
            <w:rStyle w:val="Hyperlink"/>
            <w:rFonts w:eastAsia="Times New Roman" w:cs="Times New Roman"/>
            <w:kern w:val="0"/>
            <w:szCs w:val="24"/>
            <w14:ligatures w14:val="none"/>
          </w:rPr>
          <w:t>https://doi.org/10.1007/s40688-016-0112-z</w:t>
        </w:r>
      </w:hyperlink>
      <w:r>
        <w:rPr>
          <w:rFonts w:eastAsia="Times New Roman" w:cs="Times New Roman"/>
          <w:kern w:val="0"/>
          <w:szCs w:val="24"/>
          <w14:ligatures w14:val="none"/>
        </w:rPr>
        <w:t xml:space="preserve"> </w:t>
      </w:r>
    </w:p>
    <w:p w14:paraId="39DD5B91" w14:textId="09FCABA5" w:rsidR="00C46990" w:rsidRPr="00197224" w:rsidRDefault="00C46990" w:rsidP="002F623E">
      <w:pPr>
        <w:spacing w:line="480" w:lineRule="auto"/>
        <w:ind w:left="720" w:hanging="720"/>
        <w:rPr>
          <w:rFonts w:eastAsia="Times New Roman" w:cs="Times New Roman"/>
          <w:kern w:val="0"/>
          <w:szCs w:val="24"/>
          <w14:ligatures w14:val="none"/>
        </w:rPr>
      </w:pPr>
      <w:r>
        <w:rPr>
          <w:rFonts w:eastAsia="Times New Roman" w:cs="Times New Roman"/>
          <w:kern w:val="0"/>
          <w:szCs w:val="24"/>
          <w14:ligatures w14:val="none"/>
        </w:rPr>
        <w:t xml:space="preserve">Wittekind, M., &amp; Dunn, L. (2024). </w:t>
      </w:r>
      <w:r w:rsidRPr="00C46990">
        <w:rPr>
          <w:rFonts w:eastAsia="Times New Roman" w:cs="Times New Roman"/>
          <w:i/>
          <w:iCs/>
          <w:kern w:val="0"/>
          <w:szCs w:val="24"/>
          <w14:ligatures w14:val="none"/>
        </w:rPr>
        <w:t>The role of occupational therapy in young adults with intellectual and developmental disabilities: A scoping review protocol</w:t>
      </w:r>
      <w:r>
        <w:rPr>
          <w:rFonts w:eastAsia="Times New Roman" w:cs="Times New Roman"/>
          <w:kern w:val="0"/>
          <w:szCs w:val="24"/>
          <w14:ligatures w14:val="none"/>
        </w:rPr>
        <w:t xml:space="preserve">. Open Science Framework. </w:t>
      </w:r>
      <w:hyperlink r:id="rId30" w:history="1">
        <w:r w:rsidR="004A056B" w:rsidRPr="00CF6927">
          <w:rPr>
            <w:rStyle w:val="Hyperlink"/>
            <w:rFonts w:eastAsia="Times New Roman" w:cs="Times New Roman"/>
            <w:kern w:val="0"/>
            <w:szCs w:val="24"/>
            <w14:ligatures w14:val="none"/>
          </w:rPr>
          <w:t>https://osf.io/zmnb6/?view_only=d3b43119d9394c969e8495d8e1e623c5</w:t>
        </w:r>
      </w:hyperlink>
      <w:r w:rsidR="004A056B">
        <w:rPr>
          <w:rFonts w:eastAsia="Times New Roman" w:cs="Times New Roman"/>
          <w:kern w:val="0"/>
          <w:szCs w:val="24"/>
          <w14:ligatures w14:val="none"/>
        </w:rPr>
        <w:t xml:space="preserve"> </w:t>
      </w:r>
    </w:p>
    <w:p w14:paraId="3922F8C0" w14:textId="0F11280F" w:rsidR="00361C90" w:rsidRDefault="00197224" w:rsidP="006D69DD">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 xml:space="preserve">Young, R. A., Marshall, S. K., Stainton, T., &amp; Chi, E. (2022). Transition to adulthood: Prospective content in joint parent-youth conversations for young people with intellectual or developmental disabilities (IDD). </w:t>
      </w:r>
      <w:r w:rsidRPr="00197224">
        <w:rPr>
          <w:rFonts w:eastAsia="Times New Roman" w:cs="Times New Roman"/>
          <w:i/>
          <w:iCs/>
          <w:color w:val="000000"/>
          <w:kern w:val="0"/>
          <w:szCs w:val="24"/>
          <w14:ligatures w14:val="none"/>
        </w:rPr>
        <w:t>International Journal of Developmental Disabilities</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68</w:t>
      </w:r>
      <w:r w:rsidRPr="00197224">
        <w:rPr>
          <w:rFonts w:eastAsia="Times New Roman" w:cs="Times New Roman"/>
          <w:color w:val="000000"/>
          <w:kern w:val="0"/>
          <w:szCs w:val="24"/>
          <w14:ligatures w14:val="none"/>
        </w:rPr>
        <w:t>(4), 538–546.</w:t>
      </w:r>
      <w:hyperlink r:id="rId31" w:history="1">
        <w:r w:rsidRPr="00197224">
          <w:rPr>
            <w:rFonts w:eastAsia="Times New Roman" w:cs="Times New Roman"/>
            <w:color w:val="000000"/>
            <w:kern w:val="0"/>
            <w:szCs w:val="24"/>
            <w:u w:val="single"/>
            <w14:ligatures w14:val="none"/>
          </w:rPr>
          <w:t xml:space="preserve"> </w:t>
        </w:r>
        <w:r w:rsidRPr="00197224">
          <w:rPr>
            <w:rFonts w:eastAsia="Times New Roman" w:cs="Times New Roman"/>
            <w:color w:val="1155CC"/>
            <w:kern w:val="0"/>
            <w:szCs w:val="24"/>
            <w:u w:val="single"/>
            <w14:ligatures w14:val="none"/>
          </w:rPr>
          <w:t>https://doi.org/10.1080/20473869.2020.1827212</w:t>
        </w:r>
      </w:hyperlink>
    </w:p>
    <w:p w14:paraId="2799898C" w14:textId="77777777" w:rsidR="00F10496" w:rsidRDefault="00F10496" w:rsidP="00361C90">
      <w:pPr>
        <w:spacing w:line="480" w:lineRule="auto"/>
        <w:ind w:left="720" w:hanging="720"/>
        <w:jc w:val="center"/>
        <w:rPr>
          <w:rFonts w:eastAsia="Times New Roman" w:cs="Times New Roman"/>
          <w:b/>
          <w:bCs/>
          <w:kern w:val="0"/>
          <w:szCs w:val="24"/>
          <w14:ligatures w14:val="none"/>
        </w:rPr>
      </w:pPr>
    </w:p>
    <w:p w14:paraId="2011EDF3" w14:textId="77777777" w:rsidR="00F10496" w:rsidRDefault="00F10496" w:rsidP="00361C90">
      <w:pPr>
        <w:spacing w:line="480" w:lineRule="auto"/>
        <w:ind w:left="720" w:hanging="720"/>
        <w:jc w:val="center"/>
        <w:rPr>
          <w:rFonts w:eastAsia="Times New Roman" w:cs="Times New Roman"/>
          <w:b/>
          <w:bCs/>
          <w:kern w:val="0"/>
          <w:szCs w:val="24"/>
          <w14:ligatures w14:val="none"/>
        </w:rPr>
      </w:pPr>
    </w:p>
    <w:p w14:paraId="59FEE955" w14:textId="483E7B6D" w:rsidR="00361C90" w:rsidRDefault="00361C90" w:rsidP="00361C90">
      <w:pPr>
        <w:spacing w:line="480" w:lineRule="auto"/>
        <w:ind w:left="720" w:hanging="720"/>
        <w:jc w:val="center"/>
        <w:rPr>
          <w:rFonts w:eastAsia="Times New Roman" w:cs="Times New Roman"/>
          <w:b/>
          <w:bCs/>
          <w:kern w:val="0"/>
          <w:szCs w:val="24"/>
          <w14:ligatures w14:val="none"/>
        </w:rPr>
      </w:pPr>
      <w:r w:rsidRPr="00361C90">
        <w:rPr>
          <w:rFonts w:eastAsia="Times New Roman" w:cs="Times New Roman"/>
          <w:b/>
          <w:bCs/>
          <w:kern w:val="0"/>
          <w:szCs w:val="24"/>
          <w14:ligatures w14:val="none"/>
        </w:rPr>
        <w:t>Appendix A</w:t>
      </w:r>
    </w:p>
    <w:p w14:paraId="3F0DAB6D" w14:textId="77777777" w:rsidR="006D69DD" w:rsidRPr="007D4B56" w:rsidRDefault="006D69DD" w:rsidP="006D69DD">
      <w:pPr>
        <w:spacing w:line="480" w:lineRule="auto"/>
        <w:jc w:val="center"/>
        <w:rPr>
          <w:rFonts w:eastAsia="Calibri" w:cs="Times New Roman"/>
          <w:b/>
          <w:bCs/>
        </w:rPr>
      </w:pPr>
      <w:r>
        <w:rPr>
          <w:rFonts w:eastAsia="Calibri" w:cs="Times New Roman"/>
          <w:b/>
          <w:bCs/>
        </w:rPr>
        <w:t>T</w:t>
      </w:r>
      <w:r w:rsidRPr="0044158E">
        <w:rPr>
          <w:rFonts w:eastAsia="Calibri" w:cs="Times New Roman"/>
          <w:b/>
          <w:bCs/>
        </w:rPr>
        <w:t xml:space="preserve">he Role of Occupational Therapy </w:t>
      </w:r>
      <w:r>
        <w:rPr>
          <w:rFonts w:eastAsia="Calibri" w:cs="Times New Roman"/>
          <w:b/>
          <w:bCs/>
        </w:rPr>
        <w:t>for</w:t>
      </w:r>
      <w:r w:rsidRPr="0044158E">
        <w:rPr>
          <w:rFonts w:eastAsia="Calibri" w:cs="Times New Roman"/>
          <w:b/>
          <w:bCs/>
        </w:rPr>
        <w:t xml:space="preserve"> Independence in Young Adults with </w:t>
      </w:r>
      <w:r>
        <w:rPr>
          <w:rFonts w:eastAsia="Calibri" w:cs="Times New Roman"/>
          <w:b/>
          <w:bCs/>
        </w:rPr>
        <w:t xml:space="preserve">Intellectual and Developmental </w:t>
      </w:r>
      <w:r w:rsidRPr="0044158E">
        <w:rPr>
          <w:rFonts w:eastAsia="Calibri" w:cs="Times New Roman"/>
          <w:b/>
          <w:bCs/>
        </w:rPr>
        <w:t xml:space="preserve">Disabilities: A Scoping Review </w:t>
      </w:r>
      <w:r>
        <w:rPr>
          <w:rFonts w:eastAsia="Calibri" w:cs="Times New Roman"/>
          <w:b/>
          <w:bCs/>
        </w:rPr>
        <w:t>Protocol</w:t>
      </w:r>
    </w:p>
    <w:p w14:paraId="0A7658DB" w14:textId="77777777" w:rsidR="006D69DD" w:rsidRPr="001A5044" w:rsidRDefault="006D69DD" w:rsidP="004A056B">
      <w:pPr>
        <w:spacing w:line="480" w:lineRule="auto"/>
        <w:rPr>
          <w:b/>
          <w:bCs/>
        </w:rPr>
      </w:pPr>
      <w:r w:rsidRPr="001A5044">
        <w:rPr>
          <w:b/>
          <w:bCs/>
        </w:rPr>
        <w:t>Review Authors</w:t>
      </w:r>
    </w:p>
    <w:p w14:paraId="793B7E61" w14:textId="77777777" w:rsidR="006D69DD" w:rsidRDefault="006D69DD" w:rsidP="006D69DD">
      <w:pPr>
        <w:spacing w:line="480" w:lineRule="auto"/>
        <w:ind w:firstLine="720"/>
      </w:pPr>
      <w:r>
        <w:t xml:space="preserve">The primary investigator for this study will be Madison Wittekind. The second reviewer will be Maggie Sullivan, and the third reviewer is Leah Dunn, a faculty support for this course.  </w:t>
      </w:r>
    </w:p>
    <w:p w14:paraId="7A6C519C" w14:textId="77777777" w:rsidR="006D69DD" w:rsidRDefault="006D69DD" w:rsidP="004A056B">
      <w:pPr>
        <w:spacing w:line="480" w:lineRule="auto"/>
        <w:rPr>
          <w:b/>
          <w:bCs/>
        </w:rPr>
      </w:pPr>
      <w:r w:rsidRPr="00F14CA9">
        <w:rPr>
          <w:b/>
          <w:bCs/>
        </w:rPr>
        <w:t>Introduction</w:t>
      </w:r>
    </w:p>
    <w:p w14:paraId="2883CFF9" w14:textId="77777777" w:rsidR="006D69DD" w:rsidRDefault="006D69DD" w:rsidP="006D69DD">
      <w:pPr>
        <w:spacing w:line="480" w:lineRule="auto"/>
        <w:ind w:firstLine="720"/>
      </w:pPr>
      <w:r>
        <w:t>In the U.S., most adolescents and young adults are entering an exciting period in their lives where they experience more independence in activities of daily living (ADL) and instrumental activities of daily living (IADL). While excitement may be experienced by some typically developing individuals, individuals with intellectual and developmental disabilities (IDD) face challenges and barriers performing ADLs and IADLs independently (Leonard et al., 2016). ADLs are essential tasks that need to be completed routinely to care for oneself whereas IADLs are daily activities within the home and out in the community (AOTA, 2020). Individuals with IDD may need help from parents, caregivers, and teachers when performing self-care activities (Berg et al., 2017). Relying on others for these activities can cause feelings of insecurity and helplessness when compared to typically developing peers (Jansen-van and Aldersey, 2020).</w:t>
      </w:r>
    </w:p>
    <w:p w14:paraId="63CE5880" w14:textId="77777777" w:rsidR="006D69DD" w:rsidRDefault="006D69DD" w:rsidP="006D69DD">
      <w:pPr>
        <w:spacing w:line="480" w:lineRule="auto"/>
        <w:ind w:firstLine="720"/>
      </w:pPr>
      <w:r>
        <w:t xml:space="preserve"> An occupational therapist plays an essential role in helping individuals gain independence in performing tasks that they must do, need to do, and want to do. When an occupational therapist is working with an individual, they are thinking of ways to adapt or </w:t>
      </w:r>
      <w:r>
        <w:lastRenderedPageBreak/>
        <w:t>modify an activity so that their clients can perform tasks independently. Implementing interventions that exemplify their strengths allows them to learn how to be functionally independent (Francis et al., 2019; Young et al., 2022).</w:t>
      </w:r>
      <w:r w:rsidRPr="00F33884">
        <w:t xml:space="preserve"> </w:t>
      </w:r>
      <w:r>
        <w:t xml:space="preserve"> Once young adults graduate from high school, they have limited access to resources to help increase their independence in ADLs and IADLs. There is a lack of occupational therapy services that focus on working with adolescents and young adults with IDD (Leonard et al., 2016).</w:t>
      </w:r>
    </w:p>
    <w:p w14:paraId="7E26068E" w14:textId="77777777" w:rsidR="006D69DD" w:rsidRDefault="006D69DD" w:rsidP="006D69DD">
      <w:pPr>
        <w:spacing w:line="480" w:lineRule="auto"/>
        <w:ind w:firstLine="720"/>
      </w:pPr>
      <w:r>
        <w:t>There are a variety of interventions occupational therapists can implement for the IDD population. Occupational therapists can lead individuals with IDD through functional training programs to increase their independence or adapt the task or the environment to aid in their independence (</w:t>
      </w:r>
      <w:r w:rsidRPr="00756B28">
        <w:t>Berg et al., 2017; Waldman-Levi et al., 2019).</w:t>
      </w:r>
      <w:r>
        <w:t xml:space="preserve"> Another intervention is participating in vocational skills training which allows young adults with IDD gain skills needed for employment, college, or in the community (Bernard-Bark et al., 2023; Chiang &amp; Howe, 2021,</w:t>
      </w:r>
      <w:r w:rsidRPr="00F33884">
        <w:t xml:space="preserve"> </w:t>
      </w:r>
      <w:proofErr w:type="spellStart"/>
      <w:r>
        <w:t>Wilczenski</w:t>
      </w:r>
      <w:proofErr w:type="spellEnd"/>
      <w:r>
        <w:t xml:space="preserve"> et al., 2017)</w:t>
      </w:r>
    </w:p>
    <w:p w14:paraId="13D6708C" w14:textId="77777777" w:rsidR="006D69DD" w:rsidRPr="00FE70C6" w:rsidRDefault="006D69DD" w:rsidP="006D69DD">
      <w:pPr>
        <w:spacing w:line="480" w:lineRule="auto"/>
        <w:ind w:firstLine="720"/>
      </w:pPr>
      <w:r w:rsidRPr="00DE09FA">
        <w:rPr>
          <w:rFonts w:eastAsiaTheme="minorEastAsia" w:cs="Times New Roman"/>
          <w:color w:val="000000" w:themeColor="text1"/>
          <w:kern w:val="24"/>
          <w:szCs w:val="24"/>
        </w:rPr>
        <w:t xml:space="preserve">The </w:t>
      </w:r>
      <w:r>
        <w:rPr>
          <w:rFonts w:eastAsiaTheme="minorEastAsia" w:cs="Times New Roman"/>
          <w:color w:val="000000" w:themeColor="text1"/>
          <w:kern w:val="24"/>
          <w:szCs w:val="24"/>
        </w:rPr>
        <w:t xml:space="preserve">research </w:t>
      </w:r>
      <w:r w:rsidRPr="00DE09FA">
        <w:rPr>
          <w:rFonts w:eastAsiaTheme="minorEastAsia" w:cs="Times New Roman"/>
          <w:color w:val="000000" w:themeColor="text1"/>
          <w:kern w:val="24"/>
          <w:szCs w:val="24"/>
        </w:rPr>
        <w:t>questions</w:t>
      </w:r>
      <w:r>
        <w:rPr>
          <w:rFonts w:eastAsiaTheme="minorEastAsia" w:cs="Times New Roman"/>
          <w:color w:val="000000" w:themeColor="text1"/>
          <w:kern w:val="24"/>
          <w:szCs w:val="24"/>
        </w:rPr>
        <w:t xml:space="preserve"> </w:t>
      </w:r>
      <w:r w:rsidRPr="00DE09FA">
        <w:rPr>
          <w:rFonts w:eastAsiaTheme="minorEastAsia" w:cs="Times New Roman"/>
          <w:color w:val="000000" w:themeColor="text1"/>
          <w:kern w:val="24"/>
          <w:szCs w:val="24"/>
        </w:rPr>
        <w:t xml:space="preserve">this </w:t>
      </w:r>
      <w:r>
        <w:rPr>
          <w:rFonts w:eastAsiaTheme="minorEastAsia" w:cs="Times New Roman"/>
          <w:color w:val="000000" w:themeColor="text1"/>
          <w:kern w:val="24"/>
          <w:szCs w:val="24"/>
        </w:rPr>
        <w:t>review will aim to address</w:t>
      </w:r>
      <w:r w:rsidRPr="00DE09FA">
        <w:rPr>
          <w:rFonts w:eastAsiaTheme="minorEastAsia" w:cs="Times New Roman"/>
          <w:color w:val="000000" w:themeColor="text1"/>
          <w:kern w:val="24"/>
          <w:szCs w:val="24"/>
        </w:rPr>
        <w:t xml:space="preserve"> what areas of ADLs and IADLs are the focus of interventions in individuals with IDD</w:t>
      </w:r>
      <w:r>
        <w:rPr>
          <w:rFonts w:eastAsiaTheme="minorEastAsia" w:cs="Times New Roman"/>
          <w:color w:val="000000" w:themeColor="text1"/>
          <w:kern w:val="24"/>
          <w:szCs w:val="24"/>
        </w:rPr>
        <w:t xml:space="preserve">. </w:t>
      </w:r>
      <w:r>
        <w:t>The objective for this review will include identifying successful interventions that have shown an increase in independence in ADLs and IADLs and implementing the findings into practice, as well as barriers addressed in the IDD population. The purpose of this scoping review will be to explore different interventions that can be implemented with young adults with IDD focusing on independence in ADLs and IADLs.</w:t>
      </w:r>
    </w:p>
    <w:p w14:paraId="24A8612F" w14:textId="77777777" w:rsidR="006D69DD" w:rsidRDefault="006D69DD" w:rsidP="004A056B">
      <w:pPr>
        <w:spacing w:line="480" w:lineRule="auto"/>
        <w:rPr>
          <w:b/>
          <w:bCs/>
        </w:rPr>
      </w:pPr>
      <w:r>
        <w:rPr>
          <w:b/>
          <w:bCs/>
        </w:rPr>
        <w:t xml:space="preserve">Methods </w:t>
      </w:r>
    </w:p>
    <w:p w14:paraId="6AA515FF" w14:textId="77777777" w:rsidR="006D69DD" w:rsidRPr="004A056B" w:rsidRDefault="006D69DD" w:rsidP="006D69DD">
      <w:pPr>
        <w:spacing w:line="480" w:lineRule="auto"/>
        <w:rPr>
          <w:b/>
          <w:bCs/>
          <w:i/>
          <w:iCs/>
        </w:rPr>
      </w:pPr>
      <w:r w:rsidRPr="004A056B">
        <w:rPr>
          <w:b/>
          <w:bCs/>
          <w:i/>
          <w:iCs/>
        </w:rPr>
        <w:t xml:space="preserve">Inclusion Criteria </w:t>
      </w:r>
    </w:p>
    <w:p w14:paraId="5A49D43E" w14:textId="77777777" w:rsidR="006D69DD" w:rsidRDefault="006D69DD" w:rsidP="006D69DD">
      <w:pPr>
        <w:spacing w:line="480" w:lineRule="auto"/>
        <w:ind w:firstLine="720"/>
      </w:pPr>
      <w:r>
        <w:t xml:space="preserve">The main topics of the articles included will focus on occupational therapy and IDD, and other outcomes including </w:t>
      </w:r>
      <w:r w:rsidRPr="006F4E4F">
        <w:rPr>
          <w:i/>
          <w:iCs/>
        </w:rPr>
        <w:t>interventions</w:t>
      </w:r>
      <w:r w:rsidRPr="00462A9E">
        <w:rPr>
          <w:i/>
          <w:iCs/>
        </w:rPr>
        <w:t>,</w:t>
      </w:r>
      <w:r>
        <w:rPr>
          <w:i/>
          <w:iCs/>
        </w:rPr>
        <w:t xml:space="preserve"> occupational therapy, </w:t>
      </w:r>
      <w:r w:rsidRPr="00462A9E">
        <w:rPr>
          <w:i/>
          <w:iCs/>
        </w:rPr>
        <w:t xml:space="preserve">independence, ADL, IADL, IDD, </w:t>
      </w:r>
      <w:r w:rsidRPr="00462A9E">
        <w:rPr>
          <w:i/>
          <w:iCs/>
        </w:rPr>
        <w:lastRenderedPageBreak/>
        <w:t>and young adults</w:t>
      </w:r>
      <w:r>
        <w:t xml:space="preserve">. Participants in the included articles must have an IDD diagnosis or have a family member with an IDD diagnosis who is between the ages of 13-35 years old. The articles included will be written in English and peer reviewed. They will also include therapy interventions focusing on ADLs and IADLs provided by occupational therapy, physical therapy, speech language pathology, and other interdisciplinary professions. Articles will be excluded if the study focused on non-therapy interventions. </w:t>
      </w:r>
    </w:p>
    <w:p w14:paraId="5D602AFC" w14:textId="77777777" w:rsidR="006D69DD" w:rsidRPr="004A056B" w:rsidRDefault="006D69DD" w:rsidP="006D69DD">
      <w:pPr>
        <w:spacing w:line="480" w:lineRule="auto"/>
        <w:rPr>
          <w:b/>
          <w:bCs/>
          <w:i/>
          <w:iCs/>
        </w:rPr>
      </w:pPr>
      <w:r w:rsidRPr="004A056B">
        <w:rPr>
          <w:b/>
          <w:bCs/>
          <w:i/>
          <w:iCs/>
        </w:rPr>
        <w:t>Search Strategy</w:t>
      </w:r>
    </w:p>
    <w:p w14:paraId="4D5DE4EE" w14:textId="77777777" w:rsidR="006D69DD" w:rsidRDefault="006D69DD" w:rsidP="006D69DD">
      <w:pPr>
        <w:spacing w:line="480" w:lineRule="auto"/>
        <w:ind w:firstLine="360"/>
      </w:pPr>
      <w:r>
        <w:t xml:space="preserve">This study will be conducted with a systematic literature search using the databases of APA </w:t>
      </w:r>
      <w:proofErr w:type="spellStart"/>
      <w:r>
        <w:t>PsychINFO</w:t>
      </w:r>
      <w:proofErr w:type="spellEnd"/>
      <w:r>
        <w:t xml:space="preserve">, CINAHL Plus with Full Text, ERIC, and Medline with Full Text. All the databases will be searched using the same terms including individuals with IDD, transition period, occupational therapy, young adults, and independence. The Boolean operators AND </w:t>
      </w:r>
      <w:proofErr w:type="spellStart"/>
      <w:r>
        <w:t>and</w:t>
      </w:r>
      <w:proofErr w:type="spellEnd"/>
      <w:r>
        <w:t xml:space="preserve"> OR will be used to combine the keywords during the search. </w:t>
      </w:r>
    </w:p>
    <w:p w14:paraId="26246112" w14:textId="77777777" w:rsidR="006D69DD" w:rsidRPr="00A63DF1" w:rsidRDefault="006D69DD" w:rsidP="006D69DD">
      <w:pPr>
        <w:pStyle w:val="ListParagraph"/>
        <w:numPr>
          <w:ilvl w:val="0"/>
          <w:numId w:val="4"/>
        </w:numPr>
        <w:spacing w:line="480" w:lineRule="auto"/>
      </w:pPr>
      <w:r w:rsidRPr="00AB187A">
        <w:t xml:space="preserve">Intellectual disability or intellectual disabilities or intellectual disabled or intellectual and developmental disabilities or intellectual and </w:t>
      </w:r>
      <w:proofErr w:type="gramStart"/>
      <w:r w:rsidRPr="00AB187A">
        <w:t>developmental</w:t>
      </w:r>
      <w:proofErr w:type="gramEnd"/>
      <w:r w:rsidRPr="00AB187A">
        <w:t xml:space="preserve"> disabled or IDD or developmental disabilities or developmental disability or developmental disabled or developmentally disabled or learning disability or learning disabled or learning disabilities or disabilities or disabled or disability or disable or developmental and intellectual disabilities </w:t>
      </w:r>
    </w:p>
    <w:p w14:paraId="5CACA483" w14:textId="77777777" w:rsidR="006D69DD" w:rsidRPr="00A63DF1" w:rsidRDefault="006D69DD" w:rsidP="006D69DD">
      <w:pPr>
        <w:pStyle w:val="ListParagraph"/>
        <w:numPr>
          <w:ilvl w:val="0"/>
          <w:numId w:val="4"/>
        </w:numPr>
        <w:spacing w:line="480" w:lineRule="auto"/>
      </w:pPr>
      <w:r w:rsidRPr="00AB187A">
        <w:t xml:space="preserve">occupational therapy or occupational therapist or occupational therapists or </w:t>
      </w:r>
      <w:proofErr w:type="spellStart"/>
      <w:r w:rsidRPr="00AB187A">
        <w:t>ot</w:t>
      </w:r>
      <w:proofErr w:type="spellEnd"/>
      <w:r w:rsidRPr="00AB187A">
        <w:t xml:space="preserve"> or </w:t>
      </w:r>
      <w:proofErr w:type="spellStart"/>
      <w:r w:rsidRPr="00AB187A">
        <w:t>ot</w:t>
      </w:r>
      <w:proofErr w:type="spellEnd"/>
      <w:r w:rsidRPr="00AB187A">
        <w:t xml:space="preserve"> practitioner or </w:t>
      </w:r>
      <w:proofErr w:type="spellStart"/>
      <w:r w:rsidRPr="00AB187A">
        <w:t>ot</w:t>
      </w:r>
      <w:proofErr w:type="spellEnd"/>
      <w:r w:rsidRPr="00AB187A">
        <w:t xml:space="preserve"> practitioners or </w:t>
      </w:r>
      <w:proofErr w:type="spellStart"/>
      <w:r w:rsidRPr="00AB187A">
        <w:t>ots</w:t>
      </w:r>
      <w:proofErr w:type="spellEnd"/>
      <w:r>
        <w:t xml:space="preserve"> </w:t>
      </w:r>
    </w:p>
    <w:p w14:paraId="66301F89" w14:textId="77777777" w:rsidR="006D69DD" w:rsidRPr="00A63DF1" w:rsidRDefault="006D69DD" w:rsidP="006D69DD">
      <w:pPr>
        <w:pStyle w:val="ListParagraph"/>
        <w:numPr>
          <w:ilvl w:val="0"/>
          <w:numId w:val="4"/>
        </w:numPr>
        <w:spacing w:line="480" w:lineRule="auto"/>
      </w:pPr>
      <w:r w:rsidRPr="00AB187A">
        <w:t xml:space="preserve">youth or adolescents or young people or teen or young adults or teens or teenagers or young adult or adolescence AND independence or independent or autonomy or self-efficacy </w:t>
      </w:r>
    </w:p>
    <w:p w14:paraId="5329CEBC" w14:textId="2FC2C557" w:rsidR="006D69DD" w:rsidRDefault="006D69DD" w:rsidP="006D69DD">
      <w:pPr>
        <w:pStyle w:val="ListParagraph"/>
        <w:numPr>
          <w:ilvl w:val="0"/>
          <w:numId w:val="4"/>
        </w:numPr>
        <w:spacing w:line="480" w:lineRule="auto"/>
      </w:pPr>
      <w:r w:rsidRPr="00AB187A">
        <w:lastRenderedPageBreak/>
        <w:t>interventions or strategies or best practices or treatment or therapy or program or management</w:t>
      </w:r>
    </w:p>
    <w:p w14:paraId="05ECD459" w14:textId="77777777" w:rsidR="006D69DD" w:rsidRPr="004A056B" w:rsidRDefault="006D69DD" w:rsidP="006D69DD">
      <w:pPr>
        <w:spacing w:line="480" w:lineRule="auto"/>
        <w:rPr>
          <w:b/>
          <w:bCs/>
          <w:i/>
          <w:iCs/>
        </w:rPr>
      </w:pPr>
      <w:r w:rsidRPr="004A056B">
        <w:rPr>
          <w:b/>
          <w:bCs/>
          <w:i/>
          <w:iCs/>
        </w:rPr>
        <w:t>Evidence Selection</w:t>
      </w:r>
    </w:p>
    <w:p w14:paraId="699B09D6" w14:textId="77777777" w:rsidR="006D69DD" w:rsidRDefault="006D69DD" w:rsidP="006D69DD">
      <w:pPr>
        <w:spacing w:line="480" w:lineRule="auto"/>
        <w:ind w:firstLine="720"/>
      </w:pPr>
      <w:r>
        <w:t>The combined search results of the databases will be uploaded to Rayaan and duplicates will be removed (</w:t>
      </w:r>
      <w:proofErr w:type="spellStart"/>
      <w:r>
        <w:t>Ouzzani</w:t>
      </w:r>
      <w:proofErr w:type="spellEnd"/>
      <w:r>
        <w:t xml:space="preserve"> et al., 2016). The title and abstract will be examined by each reviewer independently to determine if they meet inclusion criteria and then the full text of the remaining articles will be retrieved. Discrepancies will be discussed to reach a consensus about articles. Data related to the outcomes (Aims/purpose of study, study design, diagnosis, description of intervention, results/findings, age, and connection to the OTPF-4) will be extracted into the date extraction chart Table 1. </w:t>
      </w:r>
    </w:p>
    <w:p w14:paraId="7BD536B9" w14:textId="77777777" w:rsidR="006D69DD" w:rsidRDefault="006D69DD" w:rsidP="006D69DD">
      <w:pPr>
        <w:jc w:val="center"/>
        <w:rPr>
          <w:b/>
          <w:bCs/>
        </w:rPr>
      </w:pPr>
      <w:r>
        <w:rPr>
          <w:b/>
          <w:bCs/>
        </w:rPr>
        <w:t xml:space="preserve">Table 1: </w:t>
      </w:r>
      <w:r w:rsidRPr="006B24F2">
        <w:rPr>
          <w:b/>
          <w:bCs/>
        </w:rPr>
        <w:t xml:space="preserve">Data </w:t>
      </w:r>
      <w:r>
        <w:rPr>
          <w:b/>
          <w:bCs/>
        </w:rPr>
        <w:t>E</w:t>
      </w:r>
      <w:r w:rsidRPr="006B24F2">
        <w:rPr>
          <w:b/>
          <w:bCs/>
        </w:rPr>
        <w:t xml:space="preserve">xtraction </w:t>
      </w:r>
      <w:r>
        <w:rPr>
          <w:b/>
          <w:bCs/>
        </w:rPr>
        <w:t>C</w:t>
      </w:r>
      <w:r w:rsidRPr="006B24F2">
        <w:rPr>
          <w:b/>
          <w:bCs/>
        </w:rPr>
        <w:t>hart</w:t>
      </w:r>
    </w:p>
    <w:tbl>
      <w:tblPr>
        <w:tblStyle w:val="TableGrid"/>
        <w:tblW w:w="9949" w:type="dxa"/>
        <w:tblInd w:w="-725" w:type="dxa"/>
        <w:tblLook w:val="04A0" w:firstRow="1" w:lastRow="0" w:firstColumn="1" w:lastColumn="0" w:noHBand="0" w:noVBand="1"/>
      </w:tblPr>
      <w:tblGrid>
        <w:gridCol w:w="1350"/>
        <w:gridCol w:w="1339"/>
        <w:gridCol w:w="1038"/>
        <w:gridCol w:w="1039"/>
        <w:gridCol w:w="1283"/>
        <w:gridCol w:w="1639"/>
        <w:gridCol w:w="1067"/>
        <w:gridCol w:w="1194"/>
      </w:tblGrid>
      <w:tr w:rsidR="006D69DD" w:rsidRPr="0079668C" w14:paraId="01032AA3" w14:textId="77777777" w:rsidTr="004E104C">
        <w:trPr>
          <w:trHeight w:val="288"/>
        </w:trPr>
        <w:tc>
          <w:tcPr>
            <w:tcW w:w="1350" w:type="dxa"/>
            <w:noWrap/>
            <w:hideMark/>
          </w:tcPr>
          <w:p w14:paraId="3DA14B32" w14:textId="77777777" w:rsidR="006D69DD" w:rsidRPr="0079668C" w:rsidRDefault="006D69DD" w:rsidP="004E104C">
            <w:pPr>
              <w:rPr>
                <w:b w:val="0"/>
                <w:bCs/>
                <w:szCs w:val="18"/>
              </w:rPr>
            </w:pPr>
            <w:r>
              <w:rPr>
                <w:b w:val="0"/>
                <w:bCs/>
                <w:szCs w:val="18"/>
              </w:rPr>
              <w:t>Citation (</w:t>
            </w:r>
            <w:r w:rsidRPr="0079668C">
              <w:rPr>
                <w:bCs/>
                <w:szCs w:val="18"/>
              </w:rPr>
              <w:t>Author</w:t>
            </w:r>
            <w:r>
              <w:rPr>
                <w:b w:val="0"/>
                <w:bCs/>
                <w:szCs w:val="18"/>
              </w:rPr>
              <w:t>(s)</w:t>
            </w:r>
            <w:r w:rsidRPr="0079668C">
              <w:rPr>
                <w:bCs/>
                <w:szCs w:val="18"/>
              </w:rPr>
              <w:t>, Year</w:t>
            </w:r>
            <w:r>
              <w:rPr>
                <w:b w:val="0"/>
                <w:bCs/>
                <w:szCs w:val="18"/>
              </w:rPr>
              <w:t>)</w:t>
            </w:r>
          </w:p>
        </w:tc>
        <w:tc>
          <w:tcPr>
            <w:tcW w:w="1339" w:type="dxa"/>
            <w:noWrap/>
            <w:hideMark/>
          </w:tcPr>
          <w:p w14:paraId="6FCE9DE5" w14:textId="77777777" w:rsidR="006D69DD" w:rsidRPr="0079668C" w:rsidRDefault="006D69DD" w:rsidP="004E104C">
            <w:pPr>
              <w:rPr>
                <w:b w:val="0"/>
                <w:bCs/>
                <w:szCs w:val="18"/>
              </w:rPr>
            </w:pPr>
            <w:r>
              <w:rPr>
                <w:b w:val="0"/>
                <w:bCs/>
                <w:szCs w:val="18"/>
              </w:rPr>
              <w:t>Aim/Purpose of study</w:t>
            </w:r>
            <w:r w:rsidRPr="0079668C">
              <w:rPr>
                <w:bCs/>
                <w:szCs w:val="18"/>
              </w:rPr>
              <w:t xml:space="preserve"> </w:t>
            </w:r>
          </w:p>
        </w:tc>
        <w:tc>
          <w:tcPr>
            <w:tcW w:w="1038" w:type="dxa"/>
            <w:noWrap/>
            <w:hideMark/>
          </w:tcPr>
          <w:p w14:paraId="648C4723" w14:textId="77777777" w:rsidR="006D69DD" w:rsidRPr="0079668C" w:rsidRDefault="006D69DD" w:rsidP="004E104C">
            <w:pPr>
              <w:rPr>
                <w:b w:val="0"/>
                <w:bCs/>
                <w:szCs w:val="18"/>
              </w:rPr>
            </w:pPr>
            <w:r>
              <w:rPr>
                <w:b w:val="0"/>
                <w:bCs/>
                <w:szCs w:val="18"/>
              </w:rPr>
              <w:t>Study Design</w:t>
            </w:r>
          </w:p>
        </w:tc>
        <w:tc>
          <w:tcPr>
            <w:tcW w:w="1039" w:type="dxa"/>
            <w:noWrap/>
            <w:hideMark/>
          </w:tcPr>
          <w:p w14:paraId="7491E7BF" w14:textId="77777777" w:rsidR="006D69DD" w:rsidRPr="0079668C" w:rsidRDefault="006D69DD" w:rsidP="004E104C">
            <w:pPr>
              <w:rPr>
                <w:b w:val="0"/>
                <w:bCs/>
                <w:szCs w:val="18"/>
              </w:rPr>
            </w:pPr>
            <w:r>
              <w:rPr>
                <w:b w:val="0"/>
                <w:bCs/>
                <w:szCs w:val="18"/>
              </w:rPr>
              <w:t>Diagnosis</w:t>
            </w:r>
          </w:p>
        </w:tc>
        <w:tc>
          <w:tcPr>
            <w:tcW w:w="1283" w:type="dxa"/>
            <w:noWrap/>
            <w:hideMark/>
          </w:tcPr>
          <w:p w14:paraId="1C748905" w14:textId="77777777" w:rsidR="006D69DD" w:rsidRPr="0079668C" w:rsidRDefault="006D69DD" w:rsidP="004E104C">
            <w:pPr>
              <w:rPr>
                <w:b w:val="0"/>
                <w:bCs/>
                <w:szCs w:val="18"/>
              </w:rPr>
            </w:pPr>
            <w:r>
              <w:rPr>
                <w:b w:val="0"/>
                <w:bCs/>
                <w:szCs w:val="18"/>
              </w:rPr>
              <w:t>Description of Intervention</w:t>
            </w:r>
          </w:p>
        </w:tc>
        <w:tc>
          <w:tcPr>
            <w:tcW w:w="1639" w:type="dxa"/>
            <w:noWrap/>
            <w:hideMark/>
          </w:tcPr>
          <w:p w14:paraId="3DB93765" w14:textId="77777777" w:rsidR="006D69DD" w:rsidRPr="0079668C" w:rsidRDefault="006D69DD" w:rsidP="004E104C">
            <w:pPr>
              <w:rPr>
                <w:b w:val="0"/>
                <w:bCs/>
                <w:szCs w:val="18"/>
              </w:rPr>
            </w:pPr>
            <w:r>
              <w:rPr>
                <w:b w:val="0"/>
                <w:bCs/>
                <w:szCs w:val="18"/>
              </w:rPr>
              <w:t>Findings/Results</w:t>
            </w:r>
            <w:r w:rsidRPr="0079668C">
              <w:rPr>
                <w:bCs/>
                <w:szCs w:val="18"/>
              </w:rPr>
              <w:t xml:space="preserve"> </w:t>
            </w:r>
          </w:p>
        </w:tc>
        <w:tc>
          <w:tcPr>
            <w:tcW w:w="1067" w:type="dxa"/>
            <w:noWrap/>
            <w:hideMark/>
          </w:tcPr>
          <w:p w14:paraId="058EE879" w14:textId="77777777" w:rsidR="006D69DD" w:rsidRPr="0079668C" w:rsidRDefault="006D69DD" w:rsidP="004E104C">
            <w:pPr>
              <w:rPr>
                <w:b w:val="0"/>
                <w:bCs/>
                <w:szCs w:val="18"/>
              </w:rPr>
            </w:pPr>
            <w:r>
              <w:rPr>
                <w:b w:val="0"/>
                <w:bCs/>
                <w:szCs w:val="18"/>
              </w:rPr>
              <w:t>Age</w:t>
            </w:r>
          </w:p>
        </w:tc>
        <w:tc>
          <w:tcPr>
            <w:tcW w:w="1194" w:type="dxa"/>
            <w:noWrap/>
            <w:hideMark/>
          </w:tcPr>
          <w:p w14:paraId="56792812" w14:textId="77777777" w:rsidR="006D69DD" w:rsidRPr="0079668C" w:rsidRDefault="006D69DD" w:rsidP="004E104C">
            <w:pPr>
              <w:rPr>
                <w:b w:val="0"/>
                <w:bCs/>
                <w:szCs w:val="18"/>
              </w:rPr>
            </w:pPr>
            <w:r>
              <w:rPr>
                <w:b w:val="0"/>
                <w:bCs/>
                <w:szCs w:val="18"/>
              </w:rPr>
              <w:t>OTPF-4 Connection</w:t>
            </w:r>
            <w:r w:rsidRPr="0079668C">
              <w:rPr>
                <w:bCs/>
                <w:szCs w:val="18"/>
              </w:rPr>
              <w:t xml:space="preserve"> </w:t>
            </w:r>
          </w:p>
        </w:tc>
      </w:tr>
      <w:tr w:rsidR="006D69DD" w:rsidRPr="0079668C" w14:paraId="3626CB4C" w14:textId="77777777" w:rsidTr="004E104C">
        <w:trPr>
          <w:trHeight w:val="288"/>
        </w:trPr>
        <w:tc>
          <w:tcPr>
            <w:tcW w:w="1350" w:type="dxa"/>
            <w:noWrap/>
            <w:hideMark/>
          </w:tcPr>
          <w:p w14:paraId="7187587F" w14:textId="77777777" w:rsidR="006D69DD" w:rsidRPr="0079668C" w:rsidRDefault="006D69DD" w:rsidP="004E104C">
            <w:pPr>
              <w:rPr>
                <w:b w:val="0"/>
                <w:bCs/>
              </w:rPr>
            </w:pPr>
          </w:p>
        </w:tc>
        <w:tc>
          <w:tcPr>
            <w:tcW w:w="1339" w:type="dxa"/>
            <w:noWrap/>
            <w:hideMark/>
          </w:tcPr>
          <w:p w14:paraId="705B038F" w14:textId="77777777" w:rsidR="006D69DD" w:rsidRPr="0079668C" w:rsidRDefault="006D69DD" w:rsidP="004E104C">
            <w:pPr>
              <w:rPr>
                <w:b w:val="0"/>
                <w:bCs/>
              </w:rPr>
            </w:pPr>
          </w:p>
        </w:tc>
        <w:tc>
          <w:tcPr>
            <w:tcW w:w="1038" w:type="dxa"/>
            <w:noWrap/>
            <w:hideMark/>
          </w:tcPr>
          <w:p w14:paraId="6EA48141" w14:textId="77777777" w:rsidR="006D69DD" w:rsidRPr="0079668C" w:rsidRDefault="006D69DD" w:rsidP="004E104C">
            <w:pPr>
              <w:rPr>
                <w:b w:val="0"/>
                <w:bCs/>
              </w:rPr>
            </w:pPr>
          </w:p>
        </w:tc>
        <w:tc>
          <w:tcPr>
            <w:tcW w:w="1039" w:type="dxa"/>
            <w:noWrap/>
            <w:hideMark/>
          </w:tcPr>
          <w:p w14:paraId="37FF81A4" w14:textId="77777777" w:rsidR="006D69DD" w:rsidRPr="0079668C" w:rsidRDefault="006D69DD" w:rsidP="004E104C">
            <w:pPr>
              <w:rPr>
                <w:b w:val="0"/>
                <w:bCs/>
              </w:rPr>
            </w:pPr>
          </w:p>
        </w:tc>
        <w:tc>
          <w:tcPr>
            <w:tcW w:w="1283" w:type="dxa"/>
            <w:noWrap/>
            <w:hideMark/>
          </w:tcPr>
          <w:p w14:paraId="601D4120" w14:textId="77777777" w:rsidR="006D69DD" w:rsidRPr="0079668C" w:rsidRDefault="006D69DD" w:rsidP="004E104C">
            <w:pPr>
              <w:rPr>
                <w:b w:val="0"/>
                <w:bCs/>
              </w:rPr>
            </w:pPr>
          </w:p>
        </w:tc>
        <w:tc>
          <w:tcPr>
            <w:tcW w:w="1639" w:type="dxa"/>
            <w:noWrap/>
            <w:hideMark/>
          </w:tcPr>
          <w:p w14:paraId="5D584C94" w14:textId="77777777" w:rsidR="006D69DD" w:rsidRPr="0079668C" w:rsidRDefault="006D69DD" w:rsidP="004E104C">
            <w:pPr>
              <w:rPr>
                <w:b w:val="0"/>
                <w:bCs/>
              </w:rPr>
            </w:pPr>
          </w:p>
        </w:tc>
        <w:tc>
          <w:tcPr>
            <w:tcW w:w="1067" w:type="dxa"/>
            <w:noWrap/>
            <w:hideMark/>
          </w:tcPr>
          <w:p w14:paraId="1F7EAF72" w14:textId="77777777" w:rsidR="006D69DD" w:rsidRPr="0079668C" w:rsidRDefault="006D69DD" w:rsidP="004E104C">
            <w:pPr>
              <w:rPr>
                <w:b w:val="0"/>
                <w:bCs/>
              </w:rPr>
            </w:pPr>
          </w:p>
        </w:tc>
        <w:tc>
          <w:tcPr>
            <w:tcW w:w="1194" w:type="dxa"/>
            <w:noWrap/>
            <w:hideMark/>
          </w:tcPr>
          <w:p w14:paraId="5A1D6E8C" w14:textId="77777777" w:rsidR="006D69DD" w:rsidRPr="0079668C" w:rsidRDefault="006D69DD" w:rsidP="004E104C">
            <w:pPr>
              <w:rPr>
                <w:b w:val="0"/>
                <w:bCs/>
              </w:rPr>
            </w:pPr>
          </w:p>
        </w:tc>
      </w:tr>
      <w:tr w:rsidR="006D69DD" w:rsidRPr="0079668C" w14:paraId="4B7F63C6" w14:textId="77777777" w:rsidTr="004E104C">
        <w:trPr>
          <w:trHeight w:val="288"/>
        </w:trPr>
        <w:tc>
          <w:tcPr>
            <w:tcW w:w="1350" w:type="dxa"/>
            <w:noWrap/>
            <w:hideMark/>
          </w:tcPr>
          <w:p w14:paraId="095205AB" w14:textId="77777777" w:rsidR="006D69DD" w:rsidRPr="0079668C" w:rsidRDefault="006D69DD" w:rsidP="004E104C">
            <w:pPr>
              <w:rPr>
                <w:b w:val="0"/>
                <w:bCs/>
              </w:rPr>
            </w:pPr>
          </w:p>
        </w:tc>
        <w:tc>
          <w:tcPr>
            <w:tcW w:w="1339" w:type="dxa"/>
            <w:noWrap/>
            <w:hideMark/>
          </w:tcPr>
          <w:p w14:paraId="2AB0298B" w14:textId="77777777" w:rsidR="006D69DD" w:rsidRPr="0079668C" w:rsidRDefault="006D69DD" w:rsidP="004E104C">
            <w:pPr>
              <w:rPr>
                <w:b w:val="0"/>
                <w:bCs/>
              </w:rPr>
            </w:pPr>
          </w:p>
        </w:tc>
        <w:tc>
          <w:tcPr>
            <w:tcW w:w="1038" w:type="dxa"/>
            <w:noWrap/>
            <w:hideMark/>
          </w:tcPr>
          <w:p w14:paraId="43368AB8" w14:textId="77777777" w:rsidR="006D69DD" w:rsidRPr="0079668C" w:rsidRDefault="006D69DD" w:rsidP="004E104C">
            <w:pPr>
              <w:rPr>
                <w:b w:val="0"/>
                <w:bCs/>
              </w:rPr>
            </w:pPr>
          </w:p>
        </w:tc>
        <w:tc>
          <w:tcPr>
            <w:tcW w:w="1039" w:type="dxa"/>
            <w:noWrap/>
            <w:hideMark/>
          </w:tcPr>
          <w:p w14:paraId="1E748ACA" w14:textId="77777777" w:rsidR="006D69DD" w:rsidRPr="0079668C" w:rsidRDefault="006D69DD" w:rsidP="004E104C">
            <w:pPr>
              <w:rPr>
                <w:b w:val="0"/>
                <w:bCs/>
              </w:rPr>
            </w:pPr>
          </w:p>
        </w:tc>
        <w:tc>
          <w:tcPr>
            <w:tcW w:w="1283" w:type="dxa"/>
            <w:noWrap/>
            <w:hideMark/>
          </w:tcPr>
          <w:p w14:paraId="77FD27F8" w14:textId="77777777" w:rsidR="006D69DD" w:rsidRPr="0079668C" w:rsidRDefault="006D69DD" w:rsidP="004E104C">
            <w:pPr>
              <w:rPr>
                <w:b w:val="0"/>
                <w:bCs/>
              </w:rPr>
            </w:pPr>
          </w:p>
        </w:tc>
        <w:tc>
          <w:tcPr>
            <w:tcW w:w="1639" w:type="dxa"/>
            <w:noWrap/>
            <w:hideMark/>
          </w:tcPr>
          <w:p w14:paraId="45F344F6" w14:textId="77777777" w:rsidR="006D69DD" w:rsidRPr="0079668C" w:rsidRDefault="006D69DD" w:rsidP="004E104C">
            <w:pPr>
              <w:rPr>
                <w:b w:val="0"/>
                <w:bCs/>
              </w:rPr>
            </w:pPr>
          </w:p>
        </w:tc>
        <w:tc>
          <w:tcPr>
            <w:tcW w:w="1067" w:type="dxa"/>
            <w:noWrap/>
            <w:hideMark/>
          </w:tcPr>
          <w:p w14:paraId="20A9728D" w14:textId="77777777" w:rsidR="006D69DD" w:rsidRPr="0079668C" w:rsidRDefault="006D69DD" w:rsidP="004E104C">
            <w:pPr>
              <w:rPr>
                <w:b w:val="0"/>
                <w:bCs/>
              </w:rPr>
            </w:pPr>
          </w:p>
        </w:tc>
        <w:tc>
          <w:tcPr>
            <w:tcW w:w="1194" w:type="dxa"/>
            <w:noWrap/>
            <w:hideMark/>
          </w:tcPr>
          <w:p w14:paraId="1F9C5541" w14:textId="77777777" w:rsidR="006D69DD" w:rsidRPr="0079668C" w:rsidRDefault="006D69DD" w:rsidP="004E104C">
            <w:pPr>
              <w:rPr>
                <w:b w:val="0"/>
                <w:bCs/>
              </w:rPr>
            </w:pPr>
          </w:p>
        </w:tc>
      </w:tr>
      <w:tr w:rsidR="006D69DD" w:rsidRPr="0079668C" w14:paraId="2D5F952A" w14:textId="77777777" w:rsidTr="004E104C">
        <w:trPr>
          <w:trHeight w:val="288"/>
        </w:trPr>
        <w:tc>
          <w:tcPr>
            <w:tcW w:w="1350" w:type="dxa"/>
            <w:noWrap/>
            <w:hideMark/>
          </w:tcPr>
          <w:p w14:paraId="71236F81" w14:textId="77777777" w:rsidR="006D69DD" w:rsidRPr="0079668C" w:rsidRDefault="006D69DD" w:rsidP="004E104C">
            <w:pPr>
              <w:rPr>
                <w:b w:val="0"/>
                <w:bCs/>
              </w:rPr>
            </w:pPr>
          </w:p>
        </w:tc>
        <w:tc>
          <w:tcPr>
            <w:tcW w:w="1339" w:type="dxa"/>
            <w:noWrap/>
            <w:hideMark/>
          </w:tcPr>
          <w:p w14:paraId="77799A20" w14:textId="77777777" w:rsidR="006D69DD" w:rsidRPr="0079668C" w:rsidRDefault="006D69DD" w:rsidP="004E104C">
            <w:pPr>
              <w:rPr>
                <w:b w:val="0"/>
                <w:bCs/>
              </w:rPr>
            </w:pPr>
          </w:p>
        </w:tc>
        <w:tc>
          <w:tcPr>
            <w:tcW w:w="1038" w:type="dxa"/>
            <w:noWrap/>
            <w:hideMark/>
          </w:tcPr>
          <w:p w14:paraId="0F1ABDFB" w14:textId="77777777" w:rsidR="006D69DD" w:rsidRPr="0079668C" w:rsidRDefault="006D69DD" w:rsidP="004E104C">
            <w:pPr>
              <w:rPr>
                <w:b w:val="0"/>
                <w:bCs/>
              </w:rPr>
            </w:pPr>
          </w:p>
        </w:tc>
        <w:tc>
          <w:tcPr>
            <w:tcW w:w="1039" w:type="dxa"/>
            <w:noWrap/>
            <w:hideMark/>
          </w:tcPr>
          <w:p w14:paraId="0FF6FF82" w14:textId="77777777" w:rsidR="006D69DD" w:rsidRPr="0079668C" w:rsidRDefault="006D69DD" w:rsidP="004E104C">
            <w:pPr>
              <w:rPr>
                <w:b w:val="0"/>
                <w:bCs/>
              </w:rPr>
            </w:pPr>
          </w:p>
        </w:tc>
        <w:tc>
          <w:tcPr>
            <w:tcW w:w="1283" w:type="dxa"/>
            <w:noWrap/>
            <w:hideMark/>
          </w:tcPr>
          <w:p w14:paraId="11B4CFFB" w14:textId="77777777" w:rsidR="006D69DD" w:rsidRPr="0079668C" w:rsidRDefault="006D69DD" w:rsidP="004E104C">
            <w:pPr>
              <w:rPr>
                <w:b w:val="0"/>
                <w:bCs/>
              </w:rPr>
            </w:pPr>
          </w:p>
        </w:tc>
        <w:tc>
          <w:tcPr>
            <w:tcW w:w="1639" w:type="dxa"/>
            <w:noWrap/>
            <w:hideMark/>
          </w:tcPr>
          <w:p w14:paraId="609B9B09" w14:textId="77777777" w:rsidR="006D69DD" w:rsidRPr="0079668C" w:rsidRDefault="006D69DD" w:rsidP="004E104C">
            <w:pPr>
              <w:rPr>
                <w:b w:val="0"/>
                <w:bCs/>
              </w:rPr>
            </w:pPr>
          </w:p>
        </w:tc>
        <w:tc>
          <w:tcPr>
            <w:tcW w:w="1067" w:type="dxa"/>
            <w:noWrap/>
            <w:hideMark/>
          </w:tcPr>
          <w:p w14:paraId="4C9793B7" w14:textId="77777777" w:rsidR="006D69DD" w:rsidRPr="0079668C" w:rsidRDefault="006D69DD" w:rsidP="004E104C">
            <w:pPr>
              <w:rPr>
                <w:b w:val="0"/>
                <w:bCs/>
              </w:rPr>
            </w:pPr>
          </w:p>
        </w:tc>
        <w:tc>
          <w:tcPr>
            <w:tcW w:w="1194" w:type="dxa"/>
            <w:noWrap/>
            <w:hideMark/>
          </w:tcPr>
          <w:p w14:paraId="6E0ABF73" w14:textId="77777777" w:rsidR="006D69DD" w:rsidRPr="0079668C" w:rsidRDefault="006D69DD" w:rsidP="004E104C">
            <w:pPr>
              <w:rPr>
                <w:b w:val="0"/>
                <w:bCs/>
              </w:rPr>
            </w:pPr>
          </w:p>
        </w:tc>
      </w:tr>
      <w:tr w:rsidR="006D69DD" w:rsidRPr="0079668C" w14:paraId="36C63AD4" w14:textId="77777777" w:rsidTr="004E104C">
        <w:trPr>
          <w:trHeight w:val="288"/>
        </w:trPr>
        <w:tc>
          <w:tcPr>
            <w:tcW w:w="1350" w:type="dxa"/>
            <w:noWrap/>
            <w:hideMark/>
          </w:tcPr>
          <w:p w14:paraId="46EA45CC" w14:textId="77777777" w:rsidR="006D69DD" w:rsidRPr="0079668C" w:rsidRDefault="006D69DD" w:rsidP="004E104C">
            <w:pPr>
              <w:rPr>
                <w:b w:val="0"/>
                <w:bCs/>
              </w:rPr>
            </w:pPr>
          </w:p>
        </w:tc>
        <w:tc>
          <w:tcPr>
            <w:tcW w:w="1339" w:type="dxa"/>
            <w:noWrap/>
            <w:hideMark/>
          </w:tcPr>
          <w:p w14:paraId="24847F46" w14:textId="77777777" w:rsidR="006D69DD" w:rsidRPr="0079668C" w:rsidRDefault="006D69DD" w:rsidP="004E104C">
            <w:pPr>
              <w:rPr>
                <w:b w:val="0"/>
                <w:bCs/>
              </w:rPr>
            </w:pPr>
          </w:p>
        </w:tc>
        <w:tc>
          <w:tcPr>
            <w:tcW w:w="1038" w:type="dxa"/>
            <w:noWrap/>
            <w:hideMark/>
          </w:tcPr>
          <w:p w14:paraId="0A1363F2" w14:textId="77777777" w:rsidR="006D69DD" w:rsidRPr="0079668C" w:rsidRDefault="006D69DD" w:rsidP="004E104C">
            <w:pPr>
              <w:rPr>
                <w:b w:val="0"/>
                <w:bCs/>
              </w:rPr>
            </w:pPr>
          </w:p>
        </w:tc>
        <w:tc>
          <w:tcPr>
            <w:tcW w:w="1039" w:type="dxa"/>
            <w:noWrap/>
            <w:hideMark/>
          </w:tcPr>
          <w:p w14:paraId="24EDE148" w14:textId="77777777" w:rsidR="006D69DD" w:rsidRPr="0079668C" w:rsidRDefault="006D69DD" w:rsidP="004E104C">
            <w:pPr>
              <w:rPr>
                <w:b w:val="0"/>
                <w:bCs/>
              </w:rPr>
            </w:pPr>
          </w:p>
        </w:tc>
        <w:tc>
          <w:tcPr>
            <w:tcW w:w="1283" w:type="dxa"/>
            <w:noWrap/>
            <w:hideMark/>
          </w:tcPr>
          <w:p w14:paraId="54E83AA2" w14:textId="77777777" w:rsidR="006D69DD" w:rsidRPr="0079668C" w:rsidRDefault="006D69DD" w:rsidP="004E104C">
            <w:pPr>
              <w:rPr>
                <w:b w:val="0"/>
                <w:bCs/>
              </w:rPr>
            </w:pPr>
          </w:p>
        </w:tc>
        <w:tc>
          <w:tcPr>
            <w:tcW w:w="1639" w:type="dxa"/>
            <w:noWrap/>
            <w:hideMark/>
          </w:tcPr>
          <w:p w14:paraId="6C1E2A85" w14:textId="77777777" w:rsidR="006D69DD" w:rsidRPr="0079668C" w:rsidRDefault="006D69DD" w:rsidP="004E104C">
            <w:pPr>
              <w:rPr>
                <w:b w:val="0"/>
                <w:bCs/>
              </w:rPr>
            </w:pPr>
          </w:p>
        </w:tc>
        <w:tc>
          <w:tcPr>
            <w:tcW w:w="1067" w:type="dxa"/>
            <w:noWrap/>
            <w:hideMark/>
          </w:tcPr>
          <w:p w14:paraId="5C523011" w14:textId="77777777" w:rsidR="006D69DD" w:rsidRPr="0079668C" w:rsidRDefault="006D69DD" w:rsidP="004E104C">
            <w:pPr>
              <w:rPr>
                <w:b w:val="0"/>
                <w:bCs/>
              </w:rPr>
            </w:pPr>
          </w:p>
        </w:tc>
        <w:tc>
          <w:tcPr>
            <w:tcW w:w="1194" w:type="dxa"/>
            <w:noWrap/>
            <w:hideMark/>
          </w:tcPr>
          <w:p w14:paraId="580AF0D7" w14:textId="77777777" w:rsidR="006D69DD" w:rsidRPr="0079668C" w:rsidRDefault="006D69DD" w:rsidP="004E104C">
            <w:pPr>
              <w:rPr>
                <w:b w:val="0"/>
                <w:bCs/>
              </w:rPr>
            </w:pPr>
          </w:p>
        </w:tc>
      </w:tr>
      <w:tr w:rsidR="006D69DD" w:rsidRPr="0079668C" w14:paraId="7892D722" w14:textId="77777777" w:rsidTr="004E104C">
        <w:trPr>
          <w:trHeight w:val="288"/>
        </w:trPr>
        <w:tc>
          <w:tcPr>
            <w:tcW w:w="1350" w:type="dxa"/>
            <w:noWrap/>
            <w:hideMark/>
          </w:tcPr>
          <w:p w14:paraId="6DCB9EDF" w14:textId="77777777" w:rsidR="006D69DD" w:rsidRPr="0079668C" w:rsidRDefault="006D69DD" w:rsidP="004E104C">
            <w:pPr>
              <w:rPr>
                <w:b w:val="0"/>
                <w:bCs/>
              </w:rPr>
            </w:pPr>
          </w:p>
        </w:tc>
        <w:tc>
          <w:tcPr>
            <w:tcW w:w="1339" w:type="dxa"/>
            <w:noWrap/>
            <w:hideMark/>
          </w:tcPr>
          <w:p w14:paraId="379AB245" w14:textId="77777777" w:rsidR="006D69DD" w:rsidRPr="0079668C" w:rsidRDefault="006D69DD" w:rsidP="004E104C">
            <w:pPr>
              <w:rPr>
                <w:b w:val="0"/>
                <w:bCs/>
              </w:rPr>
            </w:pPr>
          </w:p>
        </w:tc>
        <w:tc>
          <w:tcPr>
            <w:tcW w:w="1038" w:type="dxa"/>
            <w:noWrap/>
            <w:hideMark/>
          </w:tcPr>
          <w:p w14:paraId="44B5D237" w14:textId="77777777" w:rsidR="006D69DD" w:rsidRPr="0079668C" w:rsidRDefault="006D69DD" w:rsidP="004E104C">
            <w:pPr>
              <w:rPr>
                <w:b w:val="0"/>
                <w:bCs/>
              </w:rPr>
            </w:pPr>
          </w:p>
        </w:tc>
        <w:tc>
          <w:tcPr>
            <w:tcW w:w="1039" w:type="dxa"/>
            <w:noWrap/>
            <w:hideMark/>
          </w:tcPr>
          <w:p w14:paraId="0E4E56F5" w14:textId="77777777" w:rsidR="006D69DD" w:rsidRPr="0079668C" w:rsidRDefault="006D69DD" w:rsidP="004E104C">
            <w:pPr>
              <w:rPr>
                <w:b w:val="0"/>
                <w:bCs/>
              </w:rPr>
            </w:pPr>
          </w:p>
        </w:tc>
        <w:tc>
          <w:tcPr>
            <w:tcW w:w="1283" w:type="dxa"/>
            <w:noWrap/>
            <w:hideMark/>
          </w:tcPr>
          <w:p w14:paraId="6E6AB9B6" w14:textId="77777777" w:rsidR="006D69DD" w:rsidRPr="0079668C" w:rsidRDefault="006D69DD" w:rsidP="004E104C">
            <w:pPr>
              <w:rPr>
                <w:b w:val="0"/>
                <w:bCs/>
              </w:rPr>
            </w:pPr>
          </w:p>
        </w:tc>
        <w:tc>
          <w:tcPr>
            <w:tcW w:w="1639" w:type="dxa"/>
            <w:noWrap/>
            <w:hideMark/>
          </w:tcPr>
          <w:p w14:paraId="0F636A9D" w14:textId="77777777" w:rsidR="006D69DD" w:rsidRPr="0079668C" w:rsidRDefault="006D69DD" w:rsidP="004E104C">
            <w:pPr>
              <w:rPr>
                <w:b w:val="0"/>
                <w:bCs/>
              </w:rPr>
            </w:pPr>
          </w:p>
        </w:tc>
        <w:tc>
          <w:tcPr>
            <w:tcW w:w="1067" w:type="dxa"/>
            <w:noWrap/>
            <w:hideMark/>
          </w:tcPr>
          <w:p w14:paraId="73FDC74C" w14:textId="77777777" w:rsidR="006D69DD" w:rsidRPr="0079668C" w:rsidRDefault="006D69DD" w:rsidP="004E104C">
            <w:pPr>
              <w:rPr>
                <w:b w:val="0"/>
                <w:bCs/>
              </w:rPr>
            </w:pPr>
          </w:p>
        </w:tc>
        <w:tc>
          <w:tcPr>
            <w:tcW w:w="1194" w:type="dxa"/>
            <w:noWrap/>
            <w:hideMark/>
          </w:tcPr>
          <w:p w14:paraId="69D3ACA3" w14:textId="77777777" w:rsidR="006D69DD" w:rsidRPr="0079668C" w:rsidRDefault="006D69DD" w:rsidP="004E104C">
            <w:pPr>
              <w:rPr>
                <w:b w:val="0"/>
                <w:bCs/>
              </w:rPr>
            </w:pPr>
          </w:p>
        </w:tc>
      </w:tr>
      <w:tr w:rsidR="006D69DD" w:rsidRPr="0079668C" w14:paraId="1BEB4BD8" w14:textId="77777777" w:rsidTr="004E104C">
        <w:trPr>
          <w:trHeight w:val="288"/>
        </w:trPr>
        <w:tc>
          <w:tcPr>
            <w:tcW w:w="1350" w:type="dxa"/>
            <w:noWrap/>
            <w:hideMark/>
          </w:tcPr>
          <w:p w14:paraId="34541F19" w14:textId="77777777" w:rsidR="006D69DD" w:rsidRPr="0079668C" w:rsidRDefault="006D69DD" w:rsidP="004E104C">
            <w:pPr>
              <w:rPr>
                <w:b w:val="0"/>
                <w:bCs/>
              </w:rPr>
            </w:pPr>
          </w:p>
        </w:tc>
        <w:tc>
          <w:tcPr>
            <w:tcW w:w="1339" w:type="dxa"/>
            <w:noWrap/>
            <w:hideMark/>
          </w:tcPr>
          <w:p w14:paraId="1A39E3B7" w14:textId="77777777" w:rsidR="006D69DD" w:rsidRPr="0079668C" w:rsidRDefault="006D69DD" w:rsidP="004E104C">
            <w:pPr>
              <w:rPr>
                <w:b w:val="0"/>
                <w:bCs/>
              </w:rPr>
            </w:pPr>
          </w:p>
        </w:tc>
        <w:tc>
          <w:tcPr>
            <w:tcW w:w="1038" w:type="dxa"/>
            <w:noWrap/>
            <w:hideMark/>
          </w:tcPr>
          <w:p w14:paraId="39E1B0F5" w14:textId="77777777" w:rsidR="006D69DD" w:rsidRPr="0079668C" w:rsidRDefault="006D69DD" w:rsidP="004E104C">
            <w:pPr>
              <w:rPr>
                <w:b w:val="0"/>
                <w:bCs/>
              </w:rPr>
            </w:pPr>
          </w:p>
        </w:tc>
        <w:tc>
          <w:tcPr>
            <w:tcW w:w="1039" w:type="dxa"/>
            <w:noWrap/>
            <w:hideMark/>
          </w:tcPr>
          <w:p w14:paraId="224E79CD" w14:textId="77777777" w:rsidR="006D69DD" w:rsidRPr="0079668C" w:rsidRDefault="006D69DD" w:rsidP="004E104C">
            <w:pPr>
              <w:rPr>
                <w:b w:val="0"/>
                <w:bCs/>
              </w:rPr>
            </w:pPr>
          </w:p>
        </w:tc>
        <w:tc>
          <w:tcPr>
            <w:tcW w:w="1283" w:type="dxa"/>
            <w:noWrap/>
            <w:hideMark/>
          </w:tcPr>
          <w:p w14:paraId="37A37C4C" w14:textId="77777777" w:rsidR="006D69DD" w:rsidRPr="0079668C" w:rsidRDefault="006D69DD" w:rsidP="004E104C">
            <w:pPr>
              <w:rPr>
                <w:b w:val="0"/>
                <w:bCs/>
              </w:rPr>
            </w:pPr>
          </w:p>
        </w:tc>
        <w:tc>
          <w:tcPr>
            <w:tcW w:w="1639" w:type="dxa"/>
            <w:noWrap/>
            <w:hideMark/>
          </w:tcPr>
          <w:p w14:paraId="15E44CC0" w14:textId="77777777" w:rsidR="006D69DD" w:rsidRPr="0079668C" w:rsidRDefault="006D69DD" w:rsidP="004E104C">
            <w:pPr>
              <w:rPr>
                <w:b w:val="0"/>
                <w:bCs/>
              </w:rPr>
            </w:pPr>
          </w:p>
        </w:tc>
        <w:tc>
          <w:tcPr>
            <w:tcW w:w="1067" w:type="dxa"/>
            <w:noWrap/>
            <w:hideMark/>
          </w:tcPr>
          <w:p w14:paraId="72610CC2" w14:textId="77777777" w:rsidR="006D69DD" w:rsidRPr="0079668C" w:rsidRDefault="006D69DD" w:rsidP="004E104C">
            <w:pPr>
              <w:rPr>
                <w:b w:val="0"/>
                <w:bCs/>
              </w:rPr>
            </w:pPr>
          </w:p>
        </w:tc>
        <w:tc>
          <w:tcPr>
            <w:tcW w:w="1194" w:type="dxa"/>
            <w:noWrap/>
            <w:hideMark/>
          </w:tcPr>
          <w:p w14:paraId="1033525C" w14:textId="77777777" w:rsidR="006D69DD" w:rsidRPr="0079668C" w:rsidRDefault="006D69DD" w:rsidP="004E104C">
            <w:pPr>
              <w:rPr>
                <w:b w:val="0"/>
                <w:bCs/>
              </w:rPr>
            </w:pPr>
          </w:p>
        </w:tc>
      </w:tr>
      <w:tr w:rsidR="006D69DD" w:rsidRPr="0079668C" w14:paraId="2F253A5C" w14:textId="77777777" w:rsidTr="004E104C">
        <w:trPr>
          <w:trHeight w:val="288"/>
        </w:trPr>
        <w:tc>
          <w:tcPr>
            <w:tcW w:w="1350" w:type="dxa"/>
            <w:noWrap/>
            <w:hideMark/>
          </w:tcPr>
          <w:p w14:paraId="2CC96EB1" w14:textId="77777777" w:rsidR="006D69DD" w:rsidRPr="0079668C" w:rsidRDefault="006D69DD" w:rsidP="004E104C">
            <w:pPr>
              <w:rPr>
                <w:b w:val="0"/>
                <w:bCs/>
              </w:rPr>
            </w:pPr>
          </w:p>
        </w:tc>
        <w:tc>
          <w:tcPr>
            <w:tcW w:w="1339" w:type="dxa"/>
            <w:noWrap/>
            <w:hideMark/>
          </w:tcPr>
          <w:p w14:paraId="46A8523E" w14:textId="77777777" w:rsidR="006D69DD" w:rsidRPr="0079668C" w:rsidRDefault="006D69DD" w:rsidP="004E104C">
            <w:pPr>
              <w:rPr>
                <w:b w:val="0"/>
                <w:bCs/>
              </w:rPr>
            </w:pPr>
          </w:p>
        </w:tc>
        <w:tc>
          <w:tcPr>
            <w:tcW w:w="1038" w:type="dxa"/>
            <w:noWrap/>
            <w:hideMark/>
          </w:tcPr>
          <w:p w14:paraId="4267FB7A" w14:textId="77777777" w:rsidR="006D69DD" w:rsidRPr="0079668C" w:rsidRDefault="006D69DD" w:rsidP="004E104C">
            <w:pPr>
              <w:rPr>
                <w:b w:val="0"/>
                <w:bCs/>
              </w:rPr>
            </w:pPr>
          </w:p>
        </w:tc>
        <w:tc>
          <w:tcPr>
            <w:tcW w:w="1039" w:type="dxa"/>
            <w:noWrap/>
            <w:hideMark/>
          </w:tcPr>
          <w:p w14:paraId="2A2740D4" w14:textId="77777777" w:rsidR="006D69DD" w:rsidRPr="0079668C" w:rsidRDefault="006D69DD" w:rsidP="004E104C">
            <w:pPr>
              <w:rPr>
                <w:b w:val="0"/>
                <w:bCs/>
              </w:rPr>
            </w:pPr>
          </w:p>
        </w:tc>
        <w:tc>
          <w:tcPr>
            <w:tcW w:w="1283" w:type="dxa"/>
            <w:noWrap/>
            <w:hideMark/>
          </w:tcPr>
          <w:p w14:paraId="3EEEBFC3" w14:textId="77777777" w:rsidR="006D69DD" w:rsidRPr="0079668C" w:rsidRDefault="006D69DD" w:rsidP="004E104C">
            <w:pPr>
              <w:rPr>
                <w:b w:val="0"/>
                <w:bCs/>
              </w:rPr>
            </w:pPr>
          </w:p>
        </w:tc>
        <w:tc>
          <w:tcPr>
            <w:tcW w:w="1639" w:type="dxa"/>
            <w:noWrap/>
            <w:hideMark/>
          </w:tcPr>
          <w:p w14:paraId="683F5EE6" w14:textId="77777777" w:rsidR="006D69DD" w:rsidRPr="0079668C" w:rsidRDefault="006D69DD" w:rsidP="004E104C">
            <w:pPr>
              <w:rPr>
                <w:b w:val="0"/>
                <w:bCs/>
              </w:rPr>
            </w:pPr>
          </w:p>
        </w:tc>
        <w:tc>
          <w:tcPr>
            <w:tcW w:w="1067" w:type="dxa"/>
            <w:noWrap/>
            <w:hideMark/>
          </w:tcPr>
          <w:p w14:paraId="62288D32" w14:textId="77777777" w:rsidR="006D69DD" w:rsidRPr="0079668C" w:rsidRDefault="006D69DD" w:rsidP="004E104C">
            <w:pPr>
              <w:rPr>
                <w:b w:val="0"/>
                <w:bCs/>
              </w:rPr>
            </w:pPr>
          </w:p>
        </w:tc>
        <w:tc>
          <w:tcPr>
            <w:tcW w:w="1194" w:type="dxa"/>
            <w:noWrap/>
            <w:hideMark/>
          </w:tcPr>
          <w:p w14:paraId="48BDA9BB" w14:textId="77777777" w:rsidR="006D69DD" w:rsidRPr="0079668C" w:rsidRDefault="006D69DD" w:rsidP="004E104C">
            <w:pPr>
              <w:rPr>
                <w:b w:val="0"/>
                <w:bCs/>
              </w:rPr>
            </w:pPr>
          </w:p>
        </w:tc>
      </w:tr>
      <w:tr w:rsidR="006D69DD" w:rsidRPr="0079668C" w14:paraId="7AD07345" w14:textId="77777777" w:rsidTr="004E104C">
        <w:trPr>
          <w:trHeight w:val="288"/>
        </w:trPr>
        <w:tc>
          <w:tcPr>
            <w:tcW w:w="1350" w:type="dxa"/>
            <w:noWrap/>
            <w:hideMark/>
          </w:tcPr>
          <w:p w14:paraId="423CA394" w14:textId="77777777" w:rsidR="006D69DD" w:rsidRPr="0079668C" w:rsidRDefault="006D69DD" w:rsidP="004E104C">
            <w:pPr>
              <w:rPr>
                <w:b w:val="0"/>
                <w:bCs/>
              </w:rPr>
            </w:pPr>
          </w:p>
        </w:tc>
        <w:tc>
          <w:tcPr>
            <w:tcW w:w="1339" w:type="dxa"/>
            <w:noWrap/>
            <w:hideMark/>
          </w:tcPr>
          <w:p w14:paraId="2B5C3B89" w14:textId="77777777" w:rsidR="006D69DD" w:rsidRPr="0079668C" w:rsidRDefault="006D69DD" w:rsidP="004E104C">
            <w:pPr>
              <w:rPr>
                <w:b w:val="0"/>
                <w:bCs/>
              </w:rPr>
            </w:pPr>
          </w:p>
        </w:tc>
        <w:tc>
          <w:tcPr>
            <w:tcW w:w="1038" w:type="dxa"/>
            <w:noWrap/>
            <w:hideMark/>
          </w:tcPr>
          <w:p w14:paraId="0C64B749" w14:textId="77777777" w:rsidR="006D69DD" w:rsidRPr="0079668C" w:rsidRDefault="006D69DD" w:rsidP="004E104C">
            <w:pPr>
              <w:rPr>
                <w:b w:val="0"/>
                <w:bCs/>
              </w:rPr>
            </w:pPr>
          </w:p>
        </w:tc>
        <w:tc>
          <w:tcPr>
            <w:tcW w:w="1039" w:type="dxa"/>
            <w:noWrap/>
            <w:hideMark/>
          </w:tcPr>
          <w:p w14:paraId="0ED82E0F" w14:textId="77777777" w:rsidR="006D69DD" w:rsidRPr="0079668C" w:rsidRDefault="006D69DD" w:rsidP="004E104C">
            <w:pPr>
              <w:rPr>
                <w:b w:val="0"/>
                <w:bCs/>
              </w:rPr>
            </w:pPr>
          </w:p>
        </w:tc>
        <w:tc>
          <w:tcPr>
            <w:tcW w:w="1283" w:type="dxa"/>
            <w:noWrap/>
            <w:hideMark/>
          </w:tcPr>
          <w:p w14:paraId="166BB451" w14:textId="77777777" w:rsidR="006D69DD" w:rsidRPr="0079668C" w:rsidRDefault="006D69DD" w:rsidP="004E104C">
            <w:pPr>
              <w:rPr>
                <w:b w:val="0"/>
                <w:bCs/>
              </w:rPr>
            </w:pPr>
          </w:p>
        </w:tc>
        <w:tc>
          <w:tcPr>
            <w:tcW w:w="1639" w:type="dxa"/>
            <w:noWrap/>
            <w:hideMark/>
          </w:tcPr>
          <w:p w14:paraId="3CF14A1D" w14:textId="77777777" w:rsidR="006D69DD" w:rsidRPr="0079668C" w:rsidRDefault="006D69DD" w:rsidP="004E104C">
            <w:pPr>
              <w:rPr>
                <w:b w:val="0"/>
                <w:bCs/>
              </w:rPr>
            </w:pPr>
          </w:p>
        </w:tc>
        <w:tc>
          <w:tcPr>
            <w:tcW w:w="1067" w:type="dxa"/>
            <w:noWrap/>
            <w:hideMark/>
          </w:tcPr>
          <w:p w14:paraId="0FB50757" w14:textId="77777777" w:rsidR="006D69DD" w:rsidRPr="0079668C" w:rsidRDefault="006D69DD" w:rsidP="004E104C">
            <w:pPr>
              <w:rPr>
                <w:b w:val="0"/>
                <w:bCs/>
              </w:rPr>
            </w:pPr>
          </w:p>
        </w:tc>
        <w:tc>
          <w:tcPr>
            <w:tcW w:w="1194" w:type="dxa"/>
            <w:noWrap/>
            <w:hideMark/>
          </w:tcPr>
          <w:p w14:paraId="2EE74F0D" w14:textId="77777777" w:rsidR="006D69DD" w:rsidRPr="0079668C" w:rsidRDefault="006D69DD" w:rsidP="004E104C">
            <w:pPr>
              <w:rPr>
                <w:b w:val="0"/>
                <w:bCs/>
              </w:rPr>
            </w:pPr>
          </w:p>
        </w:tc>
      </w:tr>
      <w:tr w:rsidR="006D69DD" w:rsidRPr="0079668C" w14:paraId="462A79DE" w14:textId="77777777" w:rsidTr="004E104C">
        <w:trPr>
          <w:trHeight w:val="288"/>
        </w:trPr>
        <w:tc>
          <w:tcPr>
            <w:tcW w:w="1350" w:type="dxa"/>
            <w:noWrap/>
            <w:hideMark/>
          </w:tcPr>
          <w:p w14:paraId="29E31E32" w14:textId="77777777" w:rsidR="006D69DD" w:rsidRPr="0079668C" w:rsidRDefault="006D69DD" w:rsidP="004E104C">
            <w:pPr>
              <w:rPr>
                <w:b w:val="0"/>
                <w:bCs/>
              </w:rPr>
            </w:pPr>
          </w:p>
        </w:tc>
        <w:tc>
          <w:tcPr>
            <w:tcW w:w="1339" w:type="dxa"/>
            <w:noWrap/>
            <w:hideMark/>
          </w:tcPr>
          <w:p w14:paraId="090A2F05" w14:textId="77777777" w:rsidR="006D69DD" w:rsidRPr="0079668C" w:rsidRDefault="006D69DD" w:rsidP="004E104C">
            <w:pPr>
              <w:rPr>
                <w:b w:val="0"/>
                <w:bCs/>
              </w:rPr>
            </w:pPr>
          </w:p>
        </w:tc>
        <w:tc>
          <w:tcPr>
            <w:tcW w:w="1038" w:type="dxa"/>
            <w:noWrap/>
            <w:hideMark/>
          </w:tcPr>
          <w:p w14:paraId="66BA97E6" w14:textId="77777777" w:rsidR="006D69DD" w:rsidRPr="0079668C" w:rsidRDefault="006D69DD" w:rsidP="004E104C">
            <w:pPr>
              <w:rPr>
                <w:b w:val="0"/>
                <w:bCs/>
              </w:rPr>
            </w:pPr>
          </w:p>
        </w:tc>
        <w:tc>
          <w:tcPr>
            <w:tcW w:w="1039" w:type="dxa"/>
            <w:noWrap/>
            <w:hideMark/>
          </w:tcPr>
          <w:p w14:paraId="1F623E87" w14:textId="77777777" w:rsidR="006D69DD" w:rsidRPr="0079668C" w:rsidRDefault="006D69DD" w:rsidP="004E104C">
            <w:pPr>
              <w:rPr>
                <w:b w:val="0"/>
                <w:bCs/>
              </w:rPr>
            </w:pPr>
          </w:p>
        </w:tc>
        <w:tc>
          <w:tcPr>
            <w:tcW w:w="1283" w:type="dxa"/>
            <w:noWrap/>
            <w:hideMark/>
          </w:tcPr>
          <w:p w14:paraId="17059112" w14:textId="77777777" w:rsidR="006D69DD" w:rsidRPr="0079668C" w:rsidRDefault="006D69DD" w:rsidP="004E104C">
            <w:pPr>
              <w:rPr>
                <w:b w:val="0"/>
                <w:bCs/>
              </w:rPr>
            </w:pPr>
          </w:p>
        </w:tc>
        <w:tc>
          <w:tcPr>
            <w:tcW w:w="1639" w:type="dxa"/>
            <w:noWrap/>
            <w:hideMark/>
          </w:tcPr>
          <w:p w14:paraId="4B9B12B7" w14:textId="77777777" w:rsidR="006D69DD" w:rsidRPr="0079668C" w:rsidRDefault="006D69DD" w:rsidP="004E104C">
            <w:pPr>
              <w:rPr>
                <w:b w:val="0"/>
                <w:bCs/>
              </w:rPr>
            </w:pPr>
          </w:p>
        </w:tc>
        <w:tc>
          <w:tcPr>
            <w:tcW w:w="1067" w:type="dxa"/>
            <w:noWrap/>
            <w:hideMark/>
          </w:tcPr>
          <w:p w14:paraId="1729D2A5" w14:textId="77777777" w:rsidR="006D69DD" w:rsidRPr="0079668C" w:rsidRDefault="006D69DD" w:rsidP="004E104C">
            <w:pPr>
              <w:rPr>
                <w:b w:val="0"/>
                <w:bCs/>
              </w:rPr>
            </w:pPr>
          </w:p>
        </w:tc>
        <w:tc>
          <w:tcPr>
            <w:tcW w:w="1194" w:type="dxa"/>
            <w:noWrap/>
            <w:hideMark/>
          </w:tcPr>
          <w:p w14:paraId="3A82C774" w14:textId="77777777" w:rsidR="006D69DD" w:rsidRPr="0079668C" w:rsidRDefault="006D69DD" w:rsidP="004E104C">
            <w:pPr>
              <w:rPr>
                <w:b w:val="0"/>
                <w:bCs/>
              </w:rPr>
            </w:pPr>
          </w:p>
        </w:tc>
      </w:tr>
      <w:tr w:rsidR="006D69DD" w:rsidRPr="0079668C" w14:paraId="19CF7E0A" w14:textId="77777777" w:rsidTr="004E104C">
        <w:trPr>
          <w:trHeight w:val="288"/>
        </w:trPr>
        <w:tc>
          <w:tcPr>
            <w:tcW w:w="1350" w:type="dxa"/>
            <w:noWrap/>
            <w:hideMark/>
          </w:tcPr>
          <w:p w14:paraId="6692137C" w14:textId="77777777" w:rsidR="006D69DD" w:rsidRPr="0079668C" w:rsidRDefault="006D69DD" w:rsidP="004E104C">
            <w:pPr>
              <w:rPr>
                <w:b w:val="0"/>
                <w:bCs/>
              </w:rPr>
            </w:pPr>
          </w:p>
        </w:tc>
        <w:tc>
          <w:tcPr>
            <w:tcW w:w="1339" w:type="dxa"/>
            <w:noWrap/>
            <w:hideMark/>
          </w:tcPr>
          <w:p w14:paraId="0D027416" w14:textId="77777777" w:rsidR="006D69DD" w:rsidRPr="0079668C" w:rsidRDefault="006D69DD" w:rsidP="004E104C">
            <w:pPr>
              <w:rPr>
                <w:b w:val="0"/>
                <w:bCs/>
              </w:rPr>
            </w:pPr>
          </w:p>
        </w:tc>
        <w:tc>
          <w:tcPr>
            <w:tcW w:w="1038" w:type="dxa"/>
            <w:noWrap/>
            <w:hideMark/>
          </w:tcPr>
          <w:p w14:paraId="322C2305" w14:textId="77777777" w:rsidR="006D69DD" w:rsidRPr="0079668C" w:rsidRDefault="006D69DD" w:rsidP="004E104C">
            <w:pPr>
              <w:rPr>
                <w:b w:val="0"/>
                <w:bCs/>
              </w:rPr>
            </w:pPr>
          </w:p>
        </w:tc>
        <w:tc>
          <w:tcPr>
            <w:tcW w:w="1039" w:type="dxa"/>
            <w:noWrap/>
            <w:hideMark/>
          </w:tcPr>
          <w:p w14:paraId="6248450A" w14:textId="77777777" w:rsidR="006D69DD" w:rsidRPr="0079668C" w:rsidRDefault="006D69DD" w:rsidP="004E104C">
            <w:pPr>
              <w:rPr>
                <w:b w:val="0"/>
                <w:bCs/>
              </w:rPr>
            </w:pPr>
          </w:p>
        </w:tc>
        <w:tc>
          <w:tcPr>
            <w:tcW w:w="1283" w:type="dxa"/>
            <w:noWrap/>
            <w:hideMark/>
          </w:tcPr>
          <w:p w14:paraId="098D82C1" w14:textId="77777777" w:rsidR="006D69DD" w:rsidRPr="0079668C" w:rsidRDefault="006D69DD" w:rsidP="004E104C">
            <w:pPr>
              <w:rPr>
                <w:b w:val="0"/>
                <w:bCs/>
              </w:rPr>
            </w:pPr>
          </w:p>
        </w:tc>
        <w:tc>
          <w:tcPr>
            <w:tcW w:w="1639" w:type="dxa"/>
            <w:noWrap/>
            <w:hideMark/>
          </w:tcPr>
          <w:p w14:paraId="14DDCBBB" w14:textId="77777777" w:rsidR="006D69DD" w:rsidRPr="0079668C" w:rsidRDefault="006D69DD" w:rsidP="004E104C">
            <w:pPr>
              <w:rPr>
                <w:b w:val="0"/>
                <w:bCs/>
              </w:rPr>
            </w:pPr>
          </w:p>
        </w:tc>
        <w:tc>
          <w:tcPr>
            <w:tcW w:w="1067" w:type="dxa"/>
            <w:noWrap/>
            <w:hideMark/>
          </w:tcPr>
          <w:p w14:paraId="1BDD7F75" w14:textId="77777777" w:rsidR="006D69DD" w:rsidRPr="0079668C" w:rsidRDefault="006D69DD" w:rsidP="004E104C">
            <w:pPr>
              <w:rPr>
                <w:b w:val="0"/>
                <w:bCs/>
              </w:rPr>
            </w:pPr>
          </w:p>
        </w:tc>
        <w:tc>
          <w:tcPr>
            <w:tcW w:w="1194" w:type="dxa"/>
            <w:noWrap/>
            <w:hideMark/>
          </w:tcPr>
          <w:p w14:paraId="1B6F59AA" w14:textId="77777777" w:rsidR="006D69DD" w:rsidRPr="0079668C" w:rsidRDefault="006D69DD" w:rsidP="004E104C">
            <w:pPr>
              <w:rPr>
                <w:b w:val="0"/>
                <w:bCs/>
              </w:rPr>
            </w:pPr>
          </w:p>
        </w:tc>
      </w:tr>
      <w:tr w:rsidR="006D69DD" w:rsidRPr="0079668C" w14:paraId="4743D159" w14:textId="77777777" w:rsidTr="004E104C">
        <w:trPr>
          <w:trHeight w:val="288"/>
        </w:trPr>
        <w:tc>
          <w:tcPr>
            <w:tcW w:w="1350" w:type="dxa"/>
            <w:noWrap/>
            <w:hideMark/>
          </w:tcPr>
          <w:p w14:paraId="482310B6" w14:textId="77777777" w:rsidR="006D69DD" w:rsidRPr="0079668C" w:rsidRDefault="006D69DD" w:rsidP="004E104C">
            <w:pPr>
              <w:rPr>
                <w:b w:val="0"/>
                <w:bCs/>
              </w:rPr>
            </w:pPr>
          </w:p>
        </w:tc>
        <w:tc>
          <w:tcPr>
            <w:tcW w:w="1339" w:type="dxa"/>
            <w:noWrap/>
            <w:hideMark/>
          </w:tcPr>
          <w:p w14:paraId="0444F01C" w14:textId="77777777" w:rsidR="006D69DD" w:rsidRPr="0079668C" w:rsidRDefault="006D69DD" w:rsidP="004E104C">
            <w:pPr>
              <w:rPr>
                <w:b w:val="0"/>
                <w:bCs/>
              </w:rPr>
            </w:pPr>
          </w:p>
        </w:tc>
        <w:tc>
          <w:tcPr>
            <w:tcW w:w="1038" w:type="dxa"/>
            <w:noWrap/>
            <w:hideMark/>
          </w:tcPr>
          <w:p w14:paraId="63BC1B6A" w14:textId="77777777" w:rsidR="006D69DD" w:rsidRPr="0079668C" w:rsidRDefault="006D69DD" w:rsidP="004E104C">
            <w:pPr>
              <w:rPr>
                <w:b w:val="0"/>
                <w:bCs/>
              </w:rPr>
            </w:pPr>
          </w:p>
        </w:tc>
        <w:tc>
          <w:tcPr>
            <w:tcW w:w="1039" w:type="dxa"/>
            <w:noWrap/>
            <w:hideMark/>
          </w:tcPr>
          <w:p w14:paraId="4274A905" w14:textId="77777777" w:rsidR="006D69DD" w:rsidRPr="0079668C" w:rsidRDefault="006D69DD" w:rsidP="004E104C">
            <w:pPr>
              <w:rPr>
                <w:b w:val="0"/>
                <w:bCs/>
              </w:rPr>
            </w:pPr>
          </w:p>
        </w:tc>
        <w:tc>
          <w:tcPr>
            <w:tcW w:w="1283" w:type="dxa"/>
            <w:noWrap/>
            <w:hideMark/>
          </w:tcPr>
          <w:p w14:paraId="1084F3CB" w14:textId="77777777" w:rsidR="006D69DD" w:rsidRPr="0079668C" w:rsidRDefault="006D69DD" w:rsidP="004E104C">
            <w:pPr>
              <w:rPr>
                <w:b w:val="0"/>
                <w:bCs/>
              </w:rPr>
            </w:pPr>
          </w:p>
        </w:tc>
        <w:tc>
          <w:tcPr>
            <w:tcW w:w="1639" w:type="dxa"/>
            <w:noWrap/>
            <w:hideMark/>
          </w:tcPr>
          <w:p w14:paraId="57897774" w14:textId="77777777" w:rsidR="006D69DD" w:rsidRPr="0079668C" w:rsidRDefault="006D69DD" w:rsidP="004E104C">
            <w:pPr>
              <w:rPr>
                <w:b w:val="0"/>
                <w:bCs/>
              </w:rPr>
            </w:pPr>
          </w:p>
        </w:tc>
        <w:tc>
          <w:tcPr>
            <w:tcW w:w="1067" w:type="dxa"/>
            <w:noWrap/>
            <w:hideMark/>
          </w:tcPr>
          <w:p w14:paraId="4FB88CA2" w14:textId="77777777" w:rsidR="006D69DD" w:rsidRPr="0079668C" w:rsidRDefault="006D69DD" w:rsidP="004E104C">
            <w:pPr>
              <w:rPr>
                <w:b w:val="0"/>
                <w:bCs/>
              </w:rPr>
            </w:pPr>
          </w:p>
        </w:tc>
        <w:tc>
          <w:tcPr>
            <w:tcW w:w="1194" w:type="dxa"/>
            <w:noWrap/>
            <w:hideMark/>
          </w:tcPr>
          <w:p w14:paraId="75F8077A" w14:textId="77777777" w:rsidR="006D69DD" w:rsidRPr="0079668C" w:rsidRDefault="006D69DD" w:rsidP="004E104C">
            <w:pPr>
              <w:rPr>
                <w:b w:val="0"/>
                <w:bCs/>
              </w:rPr>
            </w:pPr>
          </w:p>
        </w:tc>
      </w:tr>
    </w:tbl>
    <w:p w14:paraId="0FC33141" w14:textId="77777777" w:rsidR="006D69DD" w:rsidRDefault="006D69DD" w:rsidP="006D69DD"/>
    <w:p w14:paraId="4E454FFF" w14:textId="77777777" w:rsidR="006D69DD" w:rsidRDefault="006D69DD" w:rsidP="006D69DD">
      <w:pPr>
        <w:spacing w:line="480" w:lineRule="auto"/>
        <w:rPr>
          <w:b/>
          <w:bCs/>
        </w:rPr>
      </w:pPr>
      <w:r>
        <w:rPr>
          <w:b/>
          <w:bCs/>
        </w:rPr>
        <w:t xml:space="preserve">Outcomes/ Data Synthesis </w:t>
      </w:r>
    </w:p>
    <w:p w14:paraId="4F29CAF0" w14:textId="2520B68F" w:rsidR="006D69DD" w:rsidRDefault="006D69DD" w:rsidP="006D69DD">
      <w:pPr>
        <w:spacing w:line="480" w:lineRule="auto"/>
      </w:pPr>
      <w:r>
        <w:rPr>
          <w:b/>
          <w:bCs/>
        </w:rPr>
        <w:tab/>
      </w:r>
      <w:r>
        <w:t xml:space="preserve">Once data items are extracted from each article, the alignment with OTPF-4 will be compared as well as the intervention provided, results will be displayed in charts and graphs. </w:t>
      </w:r>
    </w:p>
    <w:p w14:paraId="259B1DD3" w14:textId="77777777" w:rsidR="00612D86" w:rsidRDefault="00612D86" w:rsidP="006D69DD">
      <w:pPr>
        <w:spacing w:line="480" w:lineRule="auto"/>
        <w:jc w:val="center"/>
        <w:rPr>
          <w:b/>
          <w:bCs/>
        </w:rPr>
      </w:pPr>
    </w:p>
    <w:p w14:paraId="40F11FF7" w14:textId="77777777" w:rsidR="00612D86" w:rsidRDefault="00612D86" w:rsidP="006D69DD">
      <w:pPr>
        <w:spacing w:line="480" w:lineRule="auto"/>
        <w:jc w:val="center"/>
        <w:rPr>
          <w:b/>
          <w:bCs/>
        </w:rPr>
      </w:pPr>
    </w:p>
    <w:p w14:paraId="115B2D69" w14:textId="4AD3F880" w:rsidR="006D69DD" w:rsidRDefault="006D69DD" w:rsidP="006D69DD">
      <w:pPr>
        <w:spacing w:line="480" w:lineRule="auto"/>
        <w:jc w:val="center"/>
        <w:rPr>
          <w:b/>
          <w:bCs/>
        </w:rPr>
      </w:pPr>
      <w:r w:rsidRPr="00471786">
        <w:rPr>
          <w:b/>
          <w:bCs/>
        </w:rPr>
        <w:lastRenderedPageBreak/>
        <w:t>References</w:t>
      </w:r>
    </w:p>
    <w:p w14:paraId="71E9CEE9" w14:textId="77777777" w:rsidR="006D69DD" w:rsidRDefault="006D69DD" w:rsidP="006D69DD">
      <w:pPr>
        <w:spacing w:line="480" w:lineRule="auto"/>
        <w:ind w:left="720" w:hanging="720"/>
        <w:rPr>
          <w:rFonts w:eastAsia="Times New Roman" w:cs="Times New Roman"/>
          <w:color w:val="1155CC"/>
          <w:kern w:val="0"/>
          <w:szCs w:val="24"/>
          <w:u w:val="single"/>
          <w14:ligatures w14:val="none"/>
        </w:rPr>
      </w:pPr>
      <w:r w:rsidRPr="00197224">
        <w:rPr>
          <w:rFonts w:eastAsia="Times New Roman" w:cs="Times New Roman"/>
          <w:color w:val="000000"/>
          <w:kern w:val="0"/>
          <w:szCs w:val="24"/>
          <w14:ligatures w14:val="none"/>
        </w:rPr>
        <w:t>American Occupational Therapy Association (2020). Occupational therapy practice framework: Domain and process (4</w:t>
      </w:r>
      <w:r w:rsidRPr="00197224">
        <w:rPr>
          <w:rFonts w:eastAsia="Times New Roman" w:cs="Times New Roman"/>
          <w:color w:val="000000"/>
          <w:kern w:val="0"/>
          <w:sz w:val="14"/>
          <w:szCs w:val="14"/>
          <w:vertAlign w:val="superscript"/>
          <w14:ligatures w14:val="none"/>
        </w:rPr>
        <w:t>th</w:t>
      </w:r>
      <w:r w:rsidRPr="00197224">
        <w:rPr>
          <w:rFonts w:eastAsia="Times New Roman" w:cs="Times New Roman"/>
          <w:color w:val="000000"/>
          <w:kern w:val="0"/>
          <w:szCs w:val="24"/>
          <w14:ligatures w14:val="none"/>
        </w:rPr>
        <w:t xml:space="preserve"> ed.). AOTA Press.</w:t>
      </w:r>
      <w:hyperlink r:id="rId32" w:history="1">
        <w:r w:rsidRPr="00197224">
          <w:rPr>
            <w:rFonts w:eastAsia="Times New Roman" w:cs="Times New Roman"/>
            <w:color w:val="000000"/>
            <w:kern w:val="0"/>
            <w:szCs w:val="24"/>
            <w:u w:val="single"/>
            <w14:ligatures w14:val="none"/>
          </w:rPr>
          <w:t xml:space="preserve"> </w:t>
        </w:r>
        <w:r w:rsidRPr="00197224">
          <w:rPr>
            <w:rFonts w:eastAsia="Times New Roman" w:cs="Times New Roman"/>
            <w:color w:val="1155CC"/>
            <w:kern w:val="0"/>
            <w:szCs w:val="24"/>
            <w:u w:val="single"/>
            <w14:ligatures w14:val="none"/>
          </w:rPr>
          <w:t>https://doi.org/10.5014/ajot.2020.74S2001</w:t>
        </w:r>
      </w:hyperlink>
    </w:p>
    <w:p w14:paraId="31B3C292" w14:textId="77777777" w:rsidR="006D69DD" w:rsidRPr="00471786" w:rsidRDefault="006D69DD" w:rsidP="006D69DD">
      <w:pPr>
        <w:spacing w:line="480" w:lineRule="auto"/>
        <w:ind w:left="720" w:hanging="720"/>
        <w:rPr>
          <w:rFonts w:eastAsia="Times New Roman" w:cs="Times New Roman"/>
          <w:kern w:val="0"/>
          <w:szCs w:val="24"/>
          <w14:ligatures w14:val="none"/>
        </w:rPr>
      </w:pPr>
      <w:r w:rsidRPr="0074375E">
        <w:rPr>
          <w:rFonts w:eastAsia="Times New Roman" w:cs="Times New Roman"/>
          <w:kern w:val="0"/>
          <w:szCs w:val="24"/>
          <w14:ligatures w14:val="none"/>
        </w:rPr>
        <w:t xml:space="preserve">Barnard‐Brak, L., Richman, D. M., Mutua, K., &amp; Williamson, A. (2023). Predictors of employment for adults with intellectual and developmental disabilities participating in a postsecondary transition program in the United States. </w:t>
      </w:r>
      <w:r w:rsidRPr="0074375E">
        <w:rPr>
          <w:rFonts w:eastAsia="Times New Roman" w:cs="Times New Roman"/>
          <w:i/>
          <w:iCs/>
          <w:kern w:val="0"/>
          <w:szCs w:val="24"/>
          <w14:ligatures w14:val="none"/>
        </w:rPr>
        <w:t>Journal of Applied Research in Intellectual Disabilities</w:t>
      </w:r>
      <w:r w:rsidRPr="0074375E">
        <w:rPr>
          <w:rFonts w:eastAsia="Times New Roman" w:cs="Times New Roman"/>
          <w:kern w:val="0"/>
          <w:szCs w:val="24"/>
          <w14:ligatures w14:val="none"/>
        </w:rPr>
        <w:t xml:space="preserve">, </w:t>
      </w:r>
      <w:r w:rsidRPr="0074375E">
        <w:rPr>
          <w:rFonts w:eastAsia="Times New Roman" w:cs="Times New Roman"/>
          <w:i/>
          <w:iCs/>
          <w:kern w:val="0"/>
          <w:szCs w:val="24"/>
          <w14:ligatures w14:val="none"/>
        </w:rPr>
        <w:t>36</w:t>
      </w:r>
      <w:r w:rsidRPr="0074375E">
        <w:rPr>
          <w:rFonts w:eastAsia="Times New Roman" w:cs="Times New Roman"/>
          <w:kern w:val="0"/>
          <w:szCs w:val="24"/>
          <w14:ligatures w14:val="none"/>
        </w:rPr>
        <w:t xml:space="preserve">(1), 116–121. </w:t>
      </w:r>
      <w:hyperlink r:id="rId33" w:history="1">
        <w:r w:rsidRPr="0074375E">
          <w:rPr>
            <w:rStyle w:val="Hyperlink"/>
            <w:rFonts w:eastAsia="Times New Roman" w:cs="Times New Roman"/>
            <w:kern w:val="0"/>
            <w:szCs w:val="24"/>
            <w14:ligatures w14:val="none"/>
          </w:rPr>
          <w:t>https://doi.org/10.1111/jar.13040</w:t>
        </w:r>
      </w:hyperlink>
      <w:r>
        <w:rPr>
          <w:rFonts w:eastAsia="Times New Roman" w:cs="Times New Roman"/>
          <w:kern w:val="0"/>
          <w:szCs w:val="24"/>
          <w14:ligatures w14:val="none"/>
        </w:rPr>
        <w:t xml:space="preserve"> </w:t>
      </w:r>
    </w:p>
    <w:p w14:paraId="583C33AE" w14:textId="77777777" w:rsidR="006D69DD" w:rsidRDefault="006D69DD" w:rsidP="006D69DD">
      <w:pPr>
        <w:spacing w:line="480" w:lineRule="auto"/>
        <w:ind w:left="720" w:hanging="720"/>
        <w:rPr>
          <w:rFonts w:eastAsia="Times New Roman" w:cs="Times New Roman"/>
          <w:color w:val="000000"/>
          <w:kern w:val="0"/>
          <w:szCs w:val="24"/>
          <w14:ligatures w14:val="none"/>
        </w:rPr>
      </w:pPr>
      <w:r w:rsidRPr="00197224">
        <w:rPr>
          <w:rFonts w:eastAsia="Times New Roman" w:cs="Times New Roman"/>
          <w:color w:val="000000"/>
          <w:kern w:val="0"/>
          <w:szCs w:val="24"/>
          <w14:ligatures w14:val="none"/>
        </w:rPr>
        <w:t xml:space="preserve">Berg, L. A., </w:t>
      </w:r>
      <w:proofErr w:type="spellStart"/>
      <w:r w:rsidRPr="00197224">
        <w:rPr>
          <w:rFonts w:eastAsia="Times New Roman" w:cs="Times New Roman"/>
          <w:color w:val="000000"/>
          <w:kern w:val="0"/>
          <w:szCs w:val="24"/>
          <w14:ligatures w14:val="none"/>
        </w:rPr>
        <w:t>Jirikowic</w:t>
      </w:r>
      <w:proofErr w:type="spellEnd"/>
      <w:r w:rsidRPr="00197224">
        <w:rPr>
          <w:rFonts w:eastAsia="Times New Roman" w:cs="Times New Roman"/>
          <w:color w:val="000000"/>
          <w:kern w:val="0"/>
          <w:szCs w:val="24"/>
          <w14:ligatures w14:val="none"/>
        </w:rPr>
        <w:t xml:space="preserve">, T., </w:t>
      </w:r>
      <w:proofErr w:type="spellStart"/>
      <w:r w:rsidRPr="00197224">
        <w:rPr>
          <w:rFonts w:eastAsia="Times New Roman" w:cs="Times New Roman"/>
          <w:color w:val="000000"/>
          <w:kern w:val="0"/>
          <w:szCs w:val="24"/>
          <w14:ligatures w14:val="none"/>
        </w:rPr>
        <w:t>Haerling</w:t>
      </w:r>
      <w:proofErr w:type="spellEnd"/>
      <w:r w:rsidRPr="00197224">
        <w:rPr>
          <w:rFonts w:eastAsia="Times New Roman" w:cs="Times New Roman"/>
          <w:color w:val="000000"/>
          <w:kern w:val="0"/>
          <w:szCs w:val="24"/>
          <w14:ligatures w14:val="none"/>
        </w:rPr>
        <w:t xml:space="preserve">, K., &amp; MacDonald, G. (2017). Navigating the hidden curriculum of higher education for postsecondary students with intellectual disabilities. </w:t>
      </w:r>
      <w:r w:rsidRPr="00197224">
        <w:rPr>
          <w:rFonts w:eastAsia="Times New Roman" w:cs="Times New Roman"/>
          <w:i/>
          <w:iCs/>
          <w:color w:val="000000"/>
          <w:kern w:val="0"/>
          <w:szCs w:val="24"/>
          <w14:ligatures w14:val="none"/>
        </w:rPr>
        <w:t>The American Journal of Occupational Therapy</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71</w:t>
      </w:r>
      <w:r w:rsidRPr="00197224">
        <w:rPr>
          <w:rFonts w:eastAsia="Times New Roman" w:cs="Times New Roman"/>
          <w:color w:val="000000"/>
          <w:kern w:val="0"/>
          <w:szCs w:val="24"/>
          <w14:ligatures w14:val="none"/>
        </w:rPr>
        <w:t xml:space="preserve">(3), 7103100020p1-7103100020p9. </w:t>
      </w:r>
      <w:hyperlink r:id="rId34" w:history="1">
        <w:r w:rsidRPr="00197224">
          <w:rPr>
            <w:rFonts w:eastAsia="Times New Roman" w:cs="Times New Roman"/>
            <w:color w:val="467886"/>
            <w:kern w:val="0"/>
            <w:szCs w:val="24"/>
            <w:u w:val="single"/>
            <w14:ligatures w14:val="none"/>
          </w:rPr>
          <w:t>https://doi.org/10.5014/ajot.2017.024703</w:t>
        </w:r>
      </w:hyperlink>
      <w:r w:rsidRPr="00197224">
        <w:rPr>
          <w:rFonts w:eastAsia="Times New Roman" w:cs="Times New Roman"/>
          <w:color w:val="000000"/>
          <w:kern w:val="0"/>
          <w:szCs w:val="24"/>
          <w14:ligatures w14:val="none"/>
        </w:rPr>
        <w:t> </w:t>
      </w:r>
    </w:p>
    <w:p w14:paraId="18976F7B" w14:textId="77777777" w:rsidR="006D69DD" w:rsidRPr="007C6319" w:rsidRDefault="006D69DD" w:rsidP="006D69DD">
      <w:pPr>
        <w:spacing w:line="480" w:lineRule="auto"/>
        <w:ind w:left="720" w:hanging="720"/>
        <w:rPr>
          <w:rFonts w:eastAsia="Times New Roman" w:cs="Times New Roman"/>
          <w:kern w:val="0"/>
          <w:szCs w:val="24"/>
          <w14:ligatures w14:val="none"/>
        </w:rPr>
      </w:pPr>
      <w:r w:rsidRPr="00AD578B">
        <w:rPr>
          <w:rFonts w:eastAsia="Times New Roman" w:cs="Times New Roman"/>
          <w:kern w:val="0"/>
          <w:szCs w:val="24"/>
          <w14:ligatures w14:val="none"/>
        </w:rPr>
        <w:t xml:space="preserve">Chiang, C.-Y., &amp; Howe, T.-H. (2021). Bridge to the </w:t>
      </w:r>
      <w:r>
        <w:rPr>
          <w:rFonts w:eastAsia="Times New Roman" w:cs="Times New Roman"/>
          <w:kern w:val="0"/>
          <w:szCs w:val="24"/>
          <w14:ligatures w14:val="none"/>
        </w:rPr>
        <w:t>f</w:t>
      </w:r>
      <w:r w:rsidRPr="00AD578B">
        <w:rPr>
          <w:rFonts w:eastAsia="Times New Roman" w:cs="Times New Roman"/>
          <w:kern w:val="0"/>
          <w:szCs w:val="24"/>
          <w14:ligatures w14:val="none"/>
        </w:rPr>
        <w:t xml:space="preserve">uture: A </w:t>
      </w:r>
      <w:r>
        <w:rPr>
          <w:rFonts w:eastAsia="Times New Roman" w:cs="Times New Roman"/>
          <w:kern w:val="0"/>
          <w:szCs w:val="24"/>
          <w14:ligatures w14:val="none"/>
        </w:rPr>
        <w:t>c</w:t>
      </w:r>
      <w:r w:rsidRPr="00AD578B">
        <w:rPr>
          <w:rFonts w:eastAsia="Times New Roman" w:cs="Times New Roman"/>
          <w:kern w:val="0"/>
          <w:szCs w:val="24"/>
          <w14:ligatures w14:val="none"/>
        </w:rPr>
        <w:t xml:space="preserve">areer </w:t>
      </w:r>
      <w:r>
        <w:rPr>
          <w:rFonts w:eastAsia="Times New Roman" w:cs="Times New Roman"/>
          <w:kern w:val="0"/>
          <w:szCs w:val="24"/>
          <w14:ligatures w14:val="none"/>
        </w:rPr>
        <w:t>e</w:t>
      </w:r>
      <w:r w:rsidRPr="00AD578B">
        <w:rPr>
          <w:rFonts w:eastAsia="Times New Roman" w:cs="Times New Roman"/>
          <w:kern w:val="0"/>
          <w:szCs w:val="24"/>
          <w14:ligatures w14:val="none"/>
        </w:rPr>
        <w:t xml:space="preserve">xploration </w:t>
      </w:r>
      <w:r>
        <w:rPr>
          <w:rFonts w:eastAsia="Times New Roman" w:cs="Times New Roman"/>
          <w:kern w:val="0"/>
          <w:szCs w:val="24"/>
          <w14:ligatures w14:val="none"/>
        </w:rPr>
        <w:t>f</w:t>
      </w:r>
      <w:r w:rsidRPr="00AD578B">
        <w:rPr>
          <w:rFonts w:eastAsia="Times New Roman" w:cs="Times New Roman"/>
          <w:kern w:val="0"/>
          <w:szCs w:val="24"/>
          <w14:ligatures w14:val="none"/>
        </w:rPr>
        <w:t xml:space="preserve">rame of </w:t>
      </w:r>
      <w:r>
        <w:rPr>
          <w:rFonts w:eastAsia="Times New Roman" w:cs="Times New Roman"/>
          <w:kern w:val="0"/>
          <w:szCs w:val="24"/>
          <w14:ligatures w14:val="none"/>
        </w:rPr>
        <w:t>r</w:t>
      </w:r>
      <w:r w:rsidRPr="00AD578B">
        <w:rPr>
          <w:rFonts w:eastAsia="Times New Roman" w:cs="Times New Roman"/>
          <w:kern w:val="0"/>
          <w:szCs w:val="24"/>
          <w14:ligatures w14:val="none"/>
        </w:rPr>
        <w:t xml:space="preserve">eference for </w:t>
      </w:r>
      <w:r>
        <w:rPr>
          <w:rFonts w:eastAsia="Times New Roman" w:cs="Times New Roman"/>
          <w:kern w:val="0"/>
          <w:szCs w:val="24"/>
          <w14:ligatures w14:val="none"/>
        </w:rPr>
        <w:t>s</w:t>
      </w:r>
      <w:r w:rsidRPr="00AD578B">
        <w:rPr>
          <w:rFonts w:eastAsia="Times New Roman" w:cs="Times New Roman"/>
          <w:kern w:val="0"/>
          <w:szCs w:val="24"/>
          <w14:ligatures w14:val="none"/>
        </w:rPr>
        <w:t xml:space="preserve">tudents with </w:t>
      </w:r>
      <w:r>
        <w:rPr>
          <w:rFonts w:eastAsia="Times New Roman" w:cs="Times New Roman"/>
          <w:kern w:val="0"/>
          <w:szCs w:val="24"/>
          <w14:ligatures w14:val="none"/>
        </w:rPr>
        <w:t>d</w:t>
      </w:r>
      <w:r w:rsidRPr="00AD578B">
        <w:rPr>
          <w:rFonts w:eastAsia="Times New Roman" w:cs="Times New Roman"/>
          <w:kern w:val="0"/>
          <w:szCs w:val="24"/>
          <w14:ligatures w14:val="none"/>
        </w:rPr>
        <w:t xml:space="preserve">isabilities. </w:t>
      </w:r>
      <w:r w:rsidRPr="00AD578B">
        <w:rPr>
          <w:rFonts w:eastAsia="Times New Roman" w:cs="Times New Roman"/>
          <w:i/>
          <w:iCs/>
          <w:kern w:val="0"/>
          <w:szCs w:val="24"/>
          <w14:ligatures w14:val="none"/>
        </w:rPr>
        <w:t>The Open Journal of Occupational Therapy</w:t>
      </w:r>
      <w:r w:rsidRPr="00AD578B">
        <w:rPr>
          <w:rFonts w:eastAsia="Times New Roman" w:cs="Times New Roman"/>
          <w:kern w:val="0"/>
          <w:szCs w:val="24"/>
          <w14:ligatures w14:val="none"/>
        </w:rPr>
        <w:t xml:space="preserve">, </w:t>
      </w:r>
      <w:r w:rsidRPr="00AD578B">
        <w:rPr>
          <w:rFonts w:eastAsia="Times New Roman" w:cs="Times New Roman"/>
          <w:i/>
          <w:iCs/>
          <w:kern w:val="0"/>
          <w:szCs w:val="24"/>
          <w14:ligatures w14:val="none"/>
        </w:rPr>
        <w:t>9</w:t>
      </w:r>
      <w:r w:rsidRPr="00AD578B">
        <w:rPr>
          <w:rFonts w:eastAsia="Times New Roman" w:cs="Times New Roman"/>
          <w:kern w:val="0"/>
          <w:szCs w:val="24"/>
          <w14:ligatures w14:val="none"/>
        </w:rPr>
        <w:t xml:space="preserve">(4), 1–13. </w:t>
      </w:r>
      <w:hyperlink r:id="rId35" w:history="1">
        <w:r w:rsidRPr="00AD578B">
          <w:rPr>
            <w:rStyle w:val="Hyperlink"/>
            <w:rFonts w:eastAsia="Times New Roman" w:cs="Times New Roman"/>
            <w:kern w:val="0"/>
            <w:szCs w:val="24"/>
            <w14:ligatures w14:val="none"/>
          </w:rPr>
          <w:t>https://doi.org/10.15453/2168-6408.1724</w:t>
        </w:r>
      </w:hyperlink>
      <w:r>
        <w:rPr>
          <w:rFonts w:eastAsia="Times New Roman" w:cs="Times New Roman"/>
          <w:kern w:val="0"/>
          <w:szCs w:val="24"/>
          <w14:ligatures w14:val="none"/>
        </w:rPr>
        <w:t xml:space="preserve"> </w:t>
      </w:r>
    </w:p>
    <w:p w14:paraId="049C904A" w14:textId="77777777" w:rsidR="006D69DD" w:rsidRPr="00471786" w:rsidRDefault="006D69DD" w:rsidP="006D69DD">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 xml:space="preserve">Francis, G. L., </w:t>
      </w:r>
      <w:proofErr w:type="spellStart"/>
      <w:r w:rsidRPr="00197224">
        <w:rPr>
          <w:rFonts w:eastAsia="Times New Roman" w:cs="Times New Roman"/>
          <w:color w:val="000000"/>
          <w:kern w:val="0"/>
          <w:szCs w:val="24"/>
          <w14:ligatures w14:val="none"/>
        </w:rPr>
        <w:t>Regester</w:t>
      </w:r>
      <w:proofErr w:type="spellEnd"/>
      <w:r w:rsidRPr="00197224">
        <w:rPr>
          <w:rFonts w:eastAsia="Times New Roman" w:cs="Times New Roman"/>
          <w:color w:val="000000"/>
          <w:kern w:val="0"/>
          <w:szCs w:val="24"/>
          <w14:ligatures w14:val="none"/>
        </w:rPr>
        <w:t xml:space="preserve">, A., &amp; Reed, A. S. (2019). Barriers and </w:t>
      </w:r>
      <w:proofErr w:type="gramStart"/>
      <w:r w:rsidRPr="00197224">
        <w:rPr>
          <w:rFonts w:eastAsia="Times New Roman" w:cs="Times New Roman"/>
          <w:color w:val="000000"/>
          <w:kern w:val="0"/>
          <w:szCs w:val="24"/>
          <w14:ligatures w14:val="none"/>
        </w:rPr>
        <w:t>supports to</w:t>
      </w:r>
      <w:proofErr w:type="gramEnd"/>
      <w:r w:rsidRPr="00197224">
        <w:rPr>
          <w:rFonts w:eastAsia="Times New Roman" w:cs="Times New Roman"/>
          <w:color w:val="000000"/>
          <w:kern w:val="0"/>
          <w:szCs w:val="24"/>
          <w14:ligatures w14:val="none"/>
        </w:rPr>
        <w:t xml:space="preserve"> parent involvement and collaboration during transition to adulthood. </w:t>
      </w:r>
      <w:r w:rsidRPr="00197224">
        <w:rPr>
          <w:rFonts w:eastAsia="Times New Roman" w:cs="Times New Roman"/>
          <w:i/>
          <w:iCs/>
          <w:color w:val="000000"/>
          <w:kern w:val="0"/>
          <w:szCs w:val="24"/>
          <w14:ligatures w14:val="none"/>
        </w:rPr>
        <w:t>Career Development and Transition for Exceptional Individuals</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42</w:t>
      </w:r>
      <w:r w:rsidRPr="00197224">
        <w:rPr>
          <w:rFonts w:eastAsia="Times New Roman" w:cs="Times New Roman"/>
          <w:color w:val="000000"/>
          <w:kern w:val="0"/>
          <w:szCs w:val="24"/>
          <w14:ligatures w14:val="none"/>
        </w:rPr>
        <w:t>(4), 235–245.</w:t>
      </w:r>
      <w:hyperlink r:id="rId36" w:history="1">
        <w:r w:rsidRPr="00197224">
          <w:rPr>
            <w:rFonts w:eastAsia="Times New Roman" w:cs="Times New Roman"/>
            <w:color w:val="000000"/>
            <w:kern w:val="0"/>
            <w:szCs w:val="24"/>
            <w:u w:val="single"/>
            <w14:ligatures w14:val="none"/>
          </w:rPr>
          <w:t xml:space="preserve"> </w:t>
        </w:r>
        <w:r w:rsidRPr="00197224">
          <w:rPr>
            <w:rFonts w:eastAsia="Times New Roman" w:cs="Times New Roman"/>
            <w:color w:val="1155CC"/>
            <w:kern w:val="0"/>
            <w:szCs w:val="24"/>
            <w:u w:val="single"/>
            <w14:ligatures w14:val="none"/>
          </w:rPr>
          <w:t>https://doi.org/10.1177/2165143418813912</w:t>
        </w:r>
      </w:hyperlink>
    </w:p>
    <w:p w14:paraId="055808C1" w14:textId="77777777" w:rsidR="006D69DD" w:rsidRDefault="006D69DD" w:rsidP="006D69DD">
      <w:pPr>
        <w:spacing w:line="480" w:lineRule="auto"/>
        <w:ind w:left="720" w:hanging="720"/>
        <w:rPr>
          <w:rFonts w:eastAsia="Times New Roman" w:cs="Times New Roman"/>
          <w:color w:val="000000"/>
          <w:kern w:val="0"/>
          <w:szCs w:val="24"/>
          <w14:ligatures w14:val="none"/>
        </w:rPr>
      </w:pPr>
      <w:r w:rsidRPr="00197224">
        <w:rPr>
          <w:rFonts w:eastAsia="Times New Roman" w:cs="Times New Roman"/>
          <w:color w:val="000000"/>
          <w:kern w:val="0"/>
          <w:szCs w:val="24"/>
          <w:lang w:val="da-DK"/>
          <w14:ligatures w14:val="none"/>
        </w:rPr>
        <w:t xml:space="preserve">Jansen-van Vuuren, J., &amp; Aldersey, H. M. (2020). </w:t>
      </w:r>
      <w:r w:rsidRPr="00197224">
        <w:rPr>
          <w:rFonts w:eastAsia="Times New Roman" w:cs="Times New Roman"/>
          <w:color w:val="000000"/>
          <w:kern w:val="0"/>
          <w:szCs w:val="24"/>
          <w14:ligatures w14:val="none"/>
        </w:rPr>
        <w:t xml:space="preserve">Stigma, acceptance and belonging for people with IDD across cultures. </w:t>
      </w:r>
      <w:r w:rsidRPr="00197224">
        <w:rPr>
          <w:rFonts w:eastAsia="Times New Roman" w:cs="Times New Roman"/>
          <w:i/>
          <w:iCs/>
          <w:color w:val="000000"/>
          <w:kern w:val="0"/>
          <w:szCs w:val="24"/>
          <w14:ligatures w14:val="none"/>
        </w:rPr>
        <w:t>Current Developmental Disorders Reports</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7</w:t>
      </w:r>
      <w:r w:rsidRPr="00197224">
        <w:rPr>
          <w:rFonts w:eastAsia="Times New Roman" w:cs="Times New Roman"/>
          <w:color w:val="000000"/>
          <w:kern w:val="0"/>
          <w:szCs w:val="24"/>
          <w14:ligatures w14:val="none"/>
        </w:rPr>
        <w:t xml:space="preserve">(3), 163–172. </w:t>
      </w:r>
      <w:hyperlink r:id="rId37" w:history="1">
        <w:r w:rsidRPr="00197224">
          <w:rPr>
            <w:rFonts w:eastAsia="Times New Roman" w:cs="Times New Roman"/>
            <w:color w:val="467886"/>
            <w:kern w:val="0"/>
            <w:szCs w:val="24"/>
            <w:u w:val="single"/>
            <w14:ligatures w14:val="none"/>
          </w:rPr>
          <w:t>https://doi.org/10.1007/s40474-020-00206-w</w:t>
        </w:r>
      </w:hyperlink>
      <w:r w:rsidRPr="00197224">
        <w:rPr>
          <w:rFonts w:eastAsia="Times New Roman" w:cs="Times New Roman"/>
          <w:color w:val="000000"/>
          <w:kern w:val="0"/>
          <w:szCs w:val="24"/>
          <w14:ligatures w14:val="none"/>
        </w:rPr>
        <w:t> </w:t>
      </w:r>
    </w:p>
    <w:p w14:paraId="1D548B7D" w14:textId="77777777" w:rsidR="006D69DD" w:rsidRPr="00471786" w:rsidRDefault="006D69DD" w:rsidP="006D69DD">
      <w:pPr>
        <w:spacing w:line="480" w:lineRule="auto"/>
        <w:ind w:left="720" w:hanging="720"/>
        <w:rPr>
          <w:rFonts w:eastAsia="Times New Roman" w:cs="Times New Roman"/>
          <w:szCs w:val="24"/>
        </w:rPr>
      </w:pPr>
      <w:r w:rsidRPr="008708CC">
        <w:rPr>
          <w:rFonts w:eastAsia="Times New Roman" w:cs="Times New Roman"/>
          <w:szCs w:val="24"/>
        </w:rPr>
        <w:t xml:space="preserve">Leonard, H., Foley, K.-R., </w:t>
      </w:r>
      <w:proofErr w:type="spellStart"/>
      <w:r w:rsidRPr="008708CC">
        <w:rPr>
          <w:rFonts w:eastAsia="Times New Roman" w:cs="Times New Roman"/>
          <w:szCs w:val="24"/>
        </w:rPr>
        <w:t>Pikora</w:t>
      </w:r>
      <w:proofErr w:type="spellEnd"/>
      <w:r w:rsidRPr="008708CC">
        <w:rPr>
          <w:rFonts w:eastAsia="Times New Roman" w:cs="Times New Roman"/>
          <w:szCs w:val="24"/>
        </w:rPr>
        <w:t xml:space="preserve">, T., Bourke, J., Wong, K., McPherson, L., Lennox, N., &amp; Downs, J. (2016). Transition to adulthood for young people with intellectual disability: </w:t>
      </w:r>
      <w:r w:rsidRPr="008708CC">
        <w:rPr>
          <w:rFonts w:eastAsia="Times New Roman" w:cs="Times New Roman"/>
          <w:szCs w:val="24"/>
        </w:rPr>
        <w:lastRenderedPageBreak/>
        <w:t xml:space="preserve">the experiences of their families. </w:t>
      </w:r>
      <w:r w:rsidRPr="008708CC">
        <w:rPr>
          <w:rFonts w:eastAsia="Times New Roman" w:cs="Times New Roman"/>
          <w:i/>
          <w:iCs/>
          <w:szCs w:val="24"/>
        </w:rPr>
        <w:t>European Child &amp; Adolescent Psychiatry</w:t>
      </w:r>
      <w:r w:rsidRPr="008708CC">
        <w:rPr>
          <w:rFonts w:eastAsia="Times New Roman" w:cs="Times New Roman"/>
          <w:szCs w:val="24"/>
        </w:rPr>
        <w:t xml:space="preserve">, </w:t>
      </w:r>
      <w:r w:rsidRPr="008708CC">
        <w:rPr>
          <w:rFonts w:eastAsia="Times New Roman" w:cs="Times New Roman"/>
          <w:i/>
          <w:iCs/>
          <w:szCs w:val="24"/>
        </w:rPr>
        <w:t>25</w:t>
      </w:r>
      <w:r w:rsidRPr="008708CC">
        <w:rPr>
          <w:rFonts w:eastAsia="Times New Roman" w:cs="Times New Roman"/>
          <w:szCs w:val="24"/>
        </w:rPr>
        <w:t xml:space="preserve">(12), 1369–1381. </w:t>
      </w:r>
      <w:hyperlink r:id="rId38" w:history="1">
        <w:r w:rsidRPr="008708CC">
          <w:rPr>
            <w:rStyle w:val="Hyperlink"/>
            <w:rFonts w:eastAsia="Times New Roman" w:cs="Times New Roman"/>
            <w:szCs w:val="24"/>
          </w:rPr>
          <w:t>https://doi.org/10.1007/s00787-016-0853-2</w:t>
        </w:r>
      </w:hyperlink>
      <w:r>
        <w:rPr>
          <w:rFonts w:eastAsia="Times New Roman" w:cs="Times New Roman"/>
          <w:szCs w:val="24"/>
        </w:rPr>
        <w:t xml:space="preserve"> </w:t>
      </w:r>
    </w:p>
    <w:p w14:paraId="4F77F6CD" w14:textId="77777777" w:rsidR="006D69DD" w:rsidRPr="006D69DD" w:rsidRDefault="006D69DD" w:rsidP="006D69DD">
      <w:pPr>
        <w:spacing w:line="480" w:lineRule="auto"/>
        <w:ind w:left="720" w:hanging="720"/>
        <w:contextualSpacing/>
        <w:rPr>
          <w:rFonts w:eastAsiaTheme="minorEastAsia"/>
          <w:color w:val="000000" w:themeColor="text1"/>
          <w:kern w:val="24"/>
          <w:lang w:val="da-DK"/>
        </w:rPr>
      </w:pPr>
      <w:proofErr w:type="spellStart"/>
      <w:r w:rsidRPr="008F3115">
        <w:rPr>
          <w:rFonts w:eastAsiaTheme="minorEastAsia"/>
          <w:color w:val="000000" w:themeColor="text1"/>
          <w:kern w:val="24"/>
        </w:rPr>
        <w:t>Ouzzani</w:t>
      </w:r>
      <w:proofErr w:type="spellEnd"/>
      <w:r w:rsidRPr="008F3115">
        <w:rPr>
          <w:rFonts w:eastAsiaTheme="minorEastAsia"/>
          <w:color w:val="000000" w:themeColor="text1"/>
          <w:kern w:val="24"/>
        </w:rPr>
        <w:t xml:space="preserve">, M., Hammady, H., Fedorowicz, Z., &amp; </w:t>
      </w:r>
      <w:proofErr w:type="spellStart"/>
      <w:r w:rsidRPr="008F3115">
        <w:rPr>
          <w:rFonts w:eastAsiaTheme="minorEastAsia"/>
          <w:color w:val="000000" w:themeColor="text1"/>
          <w:kern w:val="24"/>
        </w:rPr>
        <w:t>Elmagarmid</w:t>
      </w:r>
      <w:proofErr w:type="spellEnd"/>
      <w:r w:rsidRPr="008F3115">
        <w:rPr>
          <w:rFonts w:eastAsiaTheme="minorEastAsia"/>
          <w:color w:val="000000" w:themeColor="text1"/>
          <w:kern w:val="24"/>
        </w:rPr>
        <w:t xml:space="preserve">, A. (2016). Rayyan: A web and mobile app for systematic reviews. </w:t>
      </w:r>
      <w:r w:rsidRPr="008F3115">
        <w:rPr>
          <w:rFonts w:eastAsiaTheme="minorEastAsia"/>
          <w:i/>
          <w:iCs/>
          <w:color w:val="000000" w:themeColor="text1"/>
          <w:kern w:val="24"/>
        </w:rPr>
        <w:t xml:space="preserve">Systematic Reviews 5, </w:t>
      </w:r>
      <w:r w:rsidRPr="008F3115">
        <w:rPr>
          <w:rFonts w:eastAsiaTheme="minorEastAsia"/>
          <w:color w:val="000000" w:themeColor="text1"/>
          <w:kern w:val="24"/>
        </w:rPr>
        <w:t xml:space="preserve">210. </w:t>
      </w:r>
      <w:hyperlink r:id="rId39" w:history="1">
        <w:r w:rsidRPr="006D69DD">
          <w:rPr>
            <w:rStyle w:val="Hyperlink"/>
            <w:rFonts w:eastAsiaTheme="minorEastAsia"/>
            <w:kern w:val="24"/>
            <w:lang w:val="da-DK"/>
          </w:rPr>
          <w:t>https://doi.org/10.1186/s13643-016-0384-4</w:t>
        </w:r>
      </w:hyperlink>
      <w:r w:rsidRPr="006D69DD">
        <w:rPr>
          <w:rFonts w:eastAsiaTheme="minorEastAsia"/>
          <w:color w:val="000000" w:themeColor="text1"/>
          <w:kern w:val="24"/>
          <w:lang w:val="da-DK"/>
        </w:rPr>
        <w:t xml:space="preserve"> </w:t>
      </w:r>
    </w:p>
    <w:p w14:paraId="4843FFBF" w14:textId="77777777" w:rsidR="006D69DD" w:rsidRDefault="006D69DD" w:rsidP="006D69DD">
      <w:pPr>
        <w:spacing w:line="480" w:lineRule="auto"/>
        <w:ind w:left="720" w:hanging="720"/>
        <w:rPr>
          <w:rFonts w:eastAsia="Times New Roman" w:cs="Times New Roman"/>
          <w:color w:val="000000"/>
          <w:kern w:val="0"/>
          <w:szCs w:val="24"/>
          <w14:ligatures w14:val="none"/>
        </w:rPr>
      </w:pPr>
      <w:r w:rsidRPr="00471786">
        <w:rPr>
          <w:rFonts w:eastAsia="Times New Roman" w:cs="Times New Roman"/>
          <w:color w:val="000000"/>
          <w:kern w:val="0"/>
          <w:szCs w:val="24"/>
          <w:lang w:val="da-DK"/>
          <w14:ligatures w14:val="none"/>
        </w:rPr>
        <w:t xml:space="preserve">Waldman‐Levi, A., Golisz, K., Swierat, R. P., &amp; Toglia, J. (2019). </w:t>
      </w:r>
      <w:r w:rsidRPr="00197224">
        <w:rPr>
          <w:rFonts w:eastAsia="Times New Roman" w:cs="Times New Roman"/>
          <w:color w:val="000000"/>
          <w:kern w:val="0"/>
          <w:szCs w:val="24"/>
          <w14:ligatures w14:val="none"/>
        </w:rPr>
        <w:t xml:space="preserve">Scoping review: Interventions that promote functional performance for adolescents and adults with intellectual and developmental disabilities. </w:t>
      </w:r>
      <w:r w:rsidRPr="00197224">
        <w:rPr>
          <w:rFonts w:eastAsia="Times New Roman" w:cs="Times New Roman"/>
          <w:i/>
          <w:iCs/>
          <w:color w:val="000000"/>
          <w:kern w:val="0"/>
          <w:szCs w:val="24"/>
          <w14:ligatures w14:val="none"/>
        </w:rPr>
        <w:t>Australian Occupational Therapy Journal</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66</w:t>
      </w:r>
      <w:r w:rsidRPr="00197224">
        <w:rPr>
          <w:rFonts w:eastAsia="Times New Roman" w:cs="Times New Roman"/>
          <w:color w:val="000000"/>
          <w:kern w:val="0"/>
          <w:szCs w:val="24"/>
          <w14:ligatures w14:val="none"/>
        </w:rPr>
        <w:t xml:space="preserve">(4), 458–468. </w:t>
      </w:r>
      <w:hyperlink r:id="rId40" w:history="1">
        <w:r w:rsidRPr="00197224">
          <w:rPr>
            <w:rFonts w:eastAsia="Times New Roman" w:cs="Times New Roman"/>
            <w:color w:val="467886"/>
            <w:kern w:val="0"/>
            <w:szCs w:val="24"/>
            <w:u w:val="single"/>
            <w14:ligatures w14:val="none"/>
          </w:rPr>
          <w:t>https://doi.org/10.1111/1440-1630.12577</w:t>
        </w:r>
      </w:hyperlink>
      <w:r w:rsidRPr="00197224">
        <w:rPr>
          <w:rFonts w:eastAsia="Times New Roman" w:cs="Times New Roman"/>
          <w:color w:val="000000"/>
          <w:kern w:val="0"/>
          <w:szCs w:val="24"/>
          <w14:ligatures w14:val="none"/>
        </w:rPr>
        <w:t> </w:t>
      </w:r>
    </w:p>
    <w:p w14:paraId="73B72417" w14:textId="77777777" w:rsidR="006D69DD" w:rsidRPr="00471786" w:rsidRDefault="006D69DD" w:rsidP="006D69DD">
      <w:pPr>
        <w:spacing w:line="480" w:lineRule="auto"/>
        <w:ind w:left="720" w:hanging="720"/>
        <w:rPr>
          <w:rFonts w:eastAsia="Times New Roman" w:cs="Times New Roman"/>
          <w:kern w:val="0"/>
          <w:szCs w:val="24"/>
          <w14:ligatures w14:val="none"/>
        </w:rPr>
      </w:pPr>
      <w:proofErr w:type="spellStart"/>
      <w:r w:rsidRPr="00D77A5A">
        <w:rPr>
          <w:rFonts w:eastAsia="Times New Roman" w:cs="Times New Roman"/>
          <w:kern w:val="0"/>
          <w:szCs w:val="24"/>
          <w14:ligatures w14:val="none"/>
        </w:rPr>
        <w:t>Wilczenski</w:t>
      </w:r>
      <w:proofErr w:type="spellEnd"/>
      <w:r w:rsidRPr="00D77A5A">
        <w:rPr>
          <w:rFonts w:eastAsia="Times New Roman" w:cs="Times New Roman"/>
          <w:kern w:val="0"/>
          <w:szCs w:val="24"/>
          <w14:ligatures w14:val="none"/>
        </w:rPr>
        <w:t xml:space="preserve">, F. L., Cook, A. L., &amp; Regal, C. P. (2017). Rethinking </w:t>
      </w:r>
      <w:r>
        <w:rPr>
          <w:rFonts w:eastAsia="Times New Roman" w:cs="Times New Roman"/>
          <w:kern w:val="0"/>
          <w:szCs w:val="24"/>
          <w14:ligatures w14:val="none"/>
        </w:rPr>
        <w:t>c</w:t>
      </w:r>
      <w:r w:rsidRPr="00D77A5A">
        <w:rPr>
          <w:rFonts w:eastAsia="Times New Roman" w:cs="Times New Roman"/>
          <w:kern w:val="0"/>
          <w:szCs w:val="24"/>
          <w14:ligatures w14:val="none"/>
        </w:rPr>
        <w:t xml:space="preserve">ollege: Roles for </w:t>
      </w:r>
      <w:r>
        <w:rPr>
          <w:rFonts w:eastAsia="Times New Roman" w:cs="Times New Roman"/>
          <w:kern w:val="0"/>
          <w:szCs w:val="24"/>
          <w14:ligatures w14:val="none"/>
        </w:rPr>
        <w:t>s</w:t>
      </w:r>
      <w:r w:rsidRPr="00D77A5A">
        <w:rPr>
          <w:rFonts w:eastAsia="Times New Roman" w:cs="Times New Roman"/>
          <w:kern w:val="0"/>
          <w:szCs w:val="24"/>
          <w14:ligatures w14:val="none"/>
        </w:rPr>
        <w:t xml:space="preserve">chool </w:t>
      </w:r>
      <w:r>
        <w:rPr>
          <w:rFonts w:eastAsia="Times New Roman" w:cs="Times New Roman"/>
          <w:kern w:val="0"/>
          <w:szCs w:val="24"/>
          <w14:ligatures w14:val="none"/>
        </w:rPr>
        <w:t>p</w:t>
      </w:r>
      <w:r w:rsidRPr="00D77A5A">
        <w:rPr>
          <w:rFonts w:eastAsia="Times New Roman" w:cs="Times New Roman"/>
          <w:kern w:val="0"/>
          <w:szCs w:val="24"/>
          <w14:ligatures w14:val="none"/>
        </w:rPr>
        <w:t>sychologists in</w:t>
      </w:r>
      <w:r>
        <w:rPr>
          <w:rFonts w:eastAsia="Times New Roman" w:cs="Times New Roman"/>
          <w:kern w:val="0"/>
          <w:szCs w:val="24"/>
          <w14:ligatures w14:val="none"/>
        </w:rPr>
        <w:t xml:space="preserve"> t</w:t>
      </w:r>
      <w:r w:rsidRPr="00D77A5A">
        <w:rPr>
          <w:rFonts w:eastAsia="Times New Roman" w:cs="Times New Roman"/>
          <w:kern w:val="0"/>
          <w:szCs w:val="24"/>
          <w14:ligatures w14:val="none"/>
        </w:rPr>
        <w:t xml:space="preserve">ransition </w:t>
      </w:r>
      <w:r>
        <w:rPr>
          <w:rFonts w:eastAsia="Times New Roman" w:cs="Times New Roman"/>
          <w:kern w:val="0"/>
          <w:szCs w:val="24"/>
          <w14:ligatures w14:val="none"/>
        </w:rPr>
        <w:t>p</w:t>
      </w:r>
      <w:r w:rsidRPr="00D77A5A">
        <w:rPr>
          <w:rFonts w:eastAsia="Times New Roman" w:cs="Times New Roman"/>
          <w:kern w:val="0"/>
          <w:szCs w:val="24"/>
          <w14:ligatures w14:val="none"/>
        </w:rPr>
        <w:t xml:space="preserve">lanning for </w:t>
      </w:r>
      <w:r>
        <w:rPr>
          <w:rFonts w:eastAsia="Times New Roman" w:cs="Times New Roman"/>
          <w:kern w:val="0"/>
          <w:szCs w:val="24"/>
          <w14:ligatures w14:val="none"/>
        </w:rPr>
        <w:t>s</w:t>
      </w:r>
      <w:r w:rsidRPr="00D77A5A">
        <w:rPr>
          <w:rFonts w:eastAsia="Times New Roman" w:cs="Times New Roman"/>
          <w:kern w:val="0"/>
          <w:szCs w:val="24"/>
          <w14:ligatures w14:val="none"/>
        </w:rPr>
        <w:t xml:space="preserve">tudents with </w:t>
      </w:r>
      <w:r>
        <w:rPr>
          <w:rFonts w:eastAsia="Times New Roman" w:cs="Times New Roman"/>
          <w:kern w:val="0"/>
          <w:szCs w:val="24"/>
          <w14:ligatures w14:val="none"/>
        </w:rPr>
        <w:t>i</w:t>
      </w:r>
      <w:r w:rsidRPr="00D77A5A">
        <w:rPr>
          <w:rFonts w:eastAsia="Times New Roman" w:cs="Times New Roman"/>
          <w:kern w:val="0"/>
          <w:szCs w:val="24"/>
          <w14:ligatures w14:val="none"/>
        </w:rPr>
        <w:t xml:space="preserve">ntellectual </w:t>
      </w:r>
      <w:r>
        <w:rPr>
          <w:rFonts w:eastAsia="Times New Roman" w:cs="Times New Roman"/>
          <w:kern w:val="0"/>
          <w:szCs w:val="24"/>
          <w14:ligatures w14:val="none"/>
        </w:rPr>
        <w:t>d</w:t>
      </w:r>
      <w:r w:rsidRPr="00D77A5A">
        <w:rPr>
          <w:rFonts w:eastAsia="Times New Roman" w:cs="Times New Roman"/>
          <w:kern w:val="0"/>
          <w:szCs w:val="24"/>
          <w14:ligatures w14:val="none"/>
        </w:rPr>
        <w:t xml:space="preserve">isability. </w:t>
      </w:r>
      <w:r w:rsidRPr="00D77A5A">
        <w:rPr>
          <w:rFonts w:eastAsia="Times New Roman" w:cs="Times New Roman"/>
          <w:i/>
          <w:iCs/>
          <w:kern w:val="0"/>
          <w:szCs w:val="24"/>
          <w14:ligatures w14:val="none"/>
        </w:rPr>
        <w:t>Contemporary School Psychology</w:t>
      </w:r>
      <w:r w:rsidRPr="00D77A5A">
        <w:rPr>
          <w:rFonts w:eastAsia="Times New Roman" w:cs="Times New Roman"/>
          <w:kern w:val="0"/>
          <w:szCs w:val="24"/>
          <w14:ligatures w14:val="none"/>
        </w:rPr>
        <w:t xml:space="preserve">, </w:t>
      </w:r>
      <w:r w:rsidRPr="00D77A5A">
        <w:rPr>
          <w:rFonts w:eastAsia="Times New Roman" w:cs="Times New Roman"/>
          <w:i/>
          <w:iCs/>
          <w:kern w:val="0"/>
          <w:szCs w:val="24"/>
          <w14:ligatures w14:val="none"/>
        </w:rPr>
        <w:t>21</w:t>
      </w:r>
      <w:r w:rsidRPr="00D77A5A">
        <w:rPr>
          <w:rFonts w:eastAsia="Times New Roman" w:cs="Times New Roman"/>
          <w:kern w:val="0"/>
          <w:szCs w:val="24"/>
          <w14:ligatures w14:val="none"/>
        </w:rPr>
        <w:t xml:space="preserve">(1), 71–79. </w:t>
      </w:r>
      <w:hyperlink r:id="rId41" w:history="1">
        <w:r w:rsidRPr="00D77A5A">
          <w:rPr>
            <w:rStyle w:val="Hyperlink"/>
            <w:rFonts w:eastAsia="Times New Roman" w:cs="Times New Roman"/>
            <w:kern w:val="0"/>
            <w:szCs w:val="24"/>
            <w14:ligatures w14:val="none"/>
          </w:rPr>
          <w:t>https://doi.org/10.1007/s40688-016-0112-z</w:t>
        </w:r>
      </w:hyperlink>
      <w:r>
        <w:rPr>
          <w:rFonts w:eastAsia="Times New Roman" w:cs="Times New Roman"/>
          <w:kern w:val="0"/>
          <w:szCs w:val="24"/>
          <w14:ligatures w14:val="none"/>
        </w:rPr>
        <w:t xml:space="preserve"> </w:t>
      </w:r>
    </w:p>
    <w:p w14:paraId="53F08129" w14:textId="77777777" w:rsidR="006D69DD" w:rsidRDefault="006D69DD" w:rsidP="006D69DD">
      <w:pPr>
        <w:spacing w:line="480" w:lineRule="auto"/>
        <w:ind w:left="720" w:hanging="720"/>
        <w:rPr>
          <w:rFonts w:eastAsia="Times New Roman" w:cs="Times New Roman"/>
          <w:kern w:val="0"/>
          <w:szCs w:val="24"/>
          <w14:ligatures w14:val="none"/>
        </w:rPr>
      </w:pPr>
      <w:r w:rsidRPr="00197224">
        <w:rPr>
          <w:rFonts w:eastAsia="Times New Roman" w:cs="Times New Roman"/>
          <w:color w:val="000000"/>
          <w:kern w:val="0"/>
          <w:szCs w:val="24"/>
          <w14:ligatures w14:val="none"/>
        </w:rPr>
        <w:t xml:space="preserve">Young, R. A., Marshall, S. K., Stainton, T., &amp; Chi, E. (2022). Transition to adulthood: Prospective content in joint parent-youth conversations for young people with intellectual or developmental disabilities (IDD). </w:t>
      </w:r>
      <w:r w:rsidRPr="00197224">
        <w:rPr>
          <w:rFonts w:eastAsia="Times New Roman" w:cs="Times New Roman"/>
          <w:i/>
          <w:iCs/>
          <w:color w:val="000000"/>
          <w:kern w:val="0"/>
          <w:szCs w:val="24"/>
          <w14:ligatures w14:val="none"/>
        </w:rPr>
        <w:t>International Journal of Developmental Disabilities</w:t>
      </w:r>
      <w:r w:rsidRPr="00197224">
        <w:rPr>
          <w:rFonts w:eastAsia="Times New Roman" w:cs="Times New Roman"/>
          <w:color w:val="000000"/>
          <w:kern w:val="0"/>
          <w:szCs w:val="24"/>
          <w14:ligatures w14:val="none"/>
        </w:rPr>
        <w:t xml:space="preserve">, </w:t>
      </w:r>
      <w:r w:rsidRPr="00197224">
        <w:rPr>
          <w:rFonts w:eastAsia="Times New Roman" w:cs="Times New Roman"/>
          <w:i/>
          <w:iCs/>
          <w:color w:val="000000"/>
          <w:kern w:val="0"/>
          <w:szCs w:val="24"/>
          <w14:ligatures w14:val="none"/>
        </w:rPr>
        <w:t>68</w:t>
      </w:r>
      <w:r w:rsidRPr="00197224">
        <w:rPr>
          <w:rFonts w:eastAsia="Times New Roman" w:cs="Times New Roman"/>
          <w:color w:val="000000"/>
          <w:kern w:val="0"/>
          <w:szCs w:val="24"/>
          <w14:ligatures w14:val="none"/>
        </w:rPr>
        <w:t>(4), 538–546.</w:t>
      </w:r>
      <w:hyperlink r:id="rId42" w:history="1">
        <w:r w:rsidRPr="00197224">
          <w:rPr>
            <w:rFonts w:eastAsia="Times New Roman" w:cs="Times New Roman"/>
            <w:color w:val="000000"/>
            <w:kern w:val="0"/>
            <w:szCs w:val="24"/>
            <w:u w:val="single"/>
            <w14:ligatures w14:val="none"/>
          </w:rPr>
          <w:t xml:space="preserve"> </w:t>
        </w:r>
        <w:r w:rsidRPr="00197224">
          <w:rPr>
            <w:rFonts w:eastAsia="Times New Roman" w:cs="Times New Roman"/>
            <w:color w:val="1155CC"/>
            <w:kern w:val="0"/>
            <w:szCs w:val="24"/>
            <w:u w:val="single"/>
            <w14:ligatures w14:val="none"/>
          </w:rPr>
          <w:t>https://doi.org/10.1080/20473869.2020.1827212</w:t>
        </w:r>
      </w:hyperlink>
    </w:p>
    <w:p w14:paraId="4C97F702" w14:textId="77777777" w:rsidR="006D69DD" w:rsidRPr="008F3115" w:rsidRDefault="006D69DD" w:rsidP="006D69DD">
      <w:pPr>
        <w:spacing w:line="480" w:lineRule="auto"/>
        <w:ind w:left="720" w:hanging="720"/>
        <w:contextualSpacing/>
        <w:rPr>
          <w:rFonts w:eastAsiaTheme="minorEastAsia"/>
          <w:color w:val="000000" w:themeColor="text1"/>
          <w:kern w:val="24"/>
        </w:rPr>
      </w:pPr>
    </w:p>
    <w:p w14:paraId="7CEBDDE4" w14:textId="77777777" w:rsidR="006D69DD" w:rsidRPr="00471786" w:rsidRDefault="006D69DD" w:rsidP="006D69DD">
      <w:pPr>
        <w:spacing w:line="480" w:lineRule="auto"/>
      </w:pPr>
    </w:p>
    <w:p w14:paraId="17136E7B" w14:textId="77777777" w:rsidR="00361C90" w:rsidRDefault="00361C90" w:rsidP="00361C90"/>
    <w:p w14:paraId="5F822844" w14:textId="77777777" w:rsidR="00361C90" w:rsidRDefault="00361C90" w:rsidP="00361C90"/>
    <w:p w14:paraId="1F4FB2C3" w14:textId="77777777" w:rsidR="00361C90" w:rsidRDefault="00361C90" w:rsidP="00361C90"/>
    <w:p w14:paraId="4F89B88F" w14:textId="77777777" w:rsidR="00361C90" w:rsidRDefault="00361C90" w:rsidP="00361C90"/>
    <w:p w14:paraId="325AA066" w14:textId="77777777" w:rsidR="00361C90" w:rsidRPr="00197224" w:rsidRDefault="00361C90" w:rsidP="002F623E">
      <w:pPr>
        <w:spacing w:line="480" w:lineRule="auto"/>
        <w:ind w:left="720" w:hanging="720"/>
        <w:rPr>
          <w:rFonts w:eastAsia="Times New Roman" w:cs="Times New Roman"/>
          <w:kern w:val="0"/>
          <w:szCs w:val="24"/>
          <w14:ligatures w14:val="none"/>
        </w:rPr>
      </w:pPr>
    </w:p>
    <w:p w14:paraId="19658466" w14:textId="77777777" w:rsidR="006E6C13" w:rsidRPr="006E6C13" w:rsidRDefault="006E6C13" w:rsidP="00197224">
      <w:pPr>
        <w:ind w:left="720" w:hanging="720"/>
        <w:rPr>
          <w:rFonts w:cs="Times New Roman"/>
          <w:szCs w:val="24"/>
        </w:rPr>
      </w:pPr>
    </w:p>
    <w:sectPr w:rsidR="006E6C13" w:rsidRPr="006E6C13" w:rsidSect="00A650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680C" w14:textId="77777777" w:rsidR="00A650AB" w:rsidRDefault="00A650AB" w:rsidP="00D45EEC">
      <w:r>
        <w:separator/>
      </w:r>
    </w:p>
  </w:endnote>
  <w:endnote w:type="continuationSeparator" w:id="0">
    <w:p w14:paraId="147860B5" w14:textId="77777777" w:rsidR="00A650AB" w:rsidRDefault="00A650AB" w:rsidP="00D4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9617" w14:textId="77777777" w:rsidR="00A650AB" w:rsidRDefault="00A650AB" w:rsidP="00D45EEC">
      <w:r>
        <w:separator/>
      </w:r>
    </w:p>
  </w:footnote>
  <w:footnote w:type="continuationSeparator" w:id="0">
    <w:p w14:paraId="4F1674DE" w14:textId="77777777" w:rsidR="00A650AB" w:rsidRDefault="00A650AB" w:rsidP="00D4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432434"/>
      <w:docPartObj>
        <w:docPartGallery w:val="Page Numbers (Top of Page)"/>
        <w:docPartUnique/>
      </w:docPartObj>
    </w:sdtPr>
    <w:sdtEndPr>
      <w:rPr>
        <w:noProof/>
      </w:rPr>
    </w:sdtEndPr>
    <w:sdtContent>
      <w:p w14:paraId="20909342" w14:textId="23630750" w:rsidR="00D00C2D" w:rsidRDefault="00D00C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998295" w14:textId="77777777" w:rsidR="00D00C2D" w:rsidRDefault="00D00C2D" w:rsidP="00D00C2D">
    <w:pPr>
      <w:pStyle w:val="Header"/>
    </w:pPr>
    <w:bookmarkStart w:id="0" w:name="_Hlk164154516"/>
    <w:bookmarkStart w:id="1" w:name="_Hlk164154517"/>
    <w:r>
      <w:t>Role of Occupational Therapy for Independence in IDD</w:t>
    </w:r>
    <w:bookmarkEnd w:id="0"/>
    <w:bookmarkEnd w:id="1"/>
  </w:p>
  <w:p w14:paraId="130407A4" w14:textId="77777777" w:rsidR="00D00C2D" w:rsidRDefault="00D0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510D4"/>
    <w:multiLevelType w:val="hybridMultilevel"/>
    <w:tmpl w:val="1ACED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8A485C"/>
    <w:multiLevelType w:val="hybridMultilevel"/>
    <w:tmpl w:val="556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82B0C"/>
    <w:multiLevelType w:val="hybridMultilevel"/>
    <w:tmpl w:val="2B0004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8545F86"/>
    <w:multiLevelType w:val="hybridMultilevel"/>
    <w:tmpl w:val="A7C0DC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416246807">
    <w:abstractNumId w:val="3"/>
  </w:num>
  <w:num w:numId="2" w16cid:durableId="515732872">
    <w:abstractNumId w:val="2"/>
  </w:num>
  <w:num w:numId="3" w16cid:durableId="1404831715">
    <w:abstractNumId w:val="1"/>
  </w:num>
  <w:num w:numId="4" w16cid:durableId="179270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8E"/>
    <w:rsid w:val="00037DC5"/>
    <w:rsid w:val="000407B2"/>
    <w:rsid w:val="00043194"/>
    <w:rsid w:val="000676AF"/>
    <w:rsid w:val="000A4829"/>
    <w:rsid w:val="000C3E4E"/>
    <w:rsid w:val="001401FA"/>
    <w:rsid w:val="00143B50"/>
    <w:rsid w:val="00165639"/>
    <w:rsid w:val="0017789C"/>
    <w:rsid w:val="00197224"/>
    <w:rsid w:val="001B3ECD"/>
    <w:rsid w:val="001C3978"/>
    <w:rsid w:val="001C3C20"/>
    <w:rsid w:val="001C7115"/>
    <w:rsid w:val="001F111A"/>
    <w:rsid w:val="001F508F"/>
    <w:rsid w:val="00200E0D"/>
    <w:rsid w:val="00205CDE"/>
    <w:rsid w:val="002440A9"/>
    <w:rsid w:val="002543C3"/>
    <w:rsid w:val="002C7127"/>
    <w:rsid w:val="002D28D2"/>
    <w:rsid w:val="002F623E"/>
    <w:rsid w:val="00305B6F"/>
    <w:rsid w:val="00313840"/>
    <w:rsid w:val="00332AC4"/>
    <w:rsid w:val="00334D23"/>
    <w:rsid w:val="003554D7"/>
    <w:rsid w:val="0036199D"/>
    <w:rsid w:val="00361C90"/>
    <w:rsid w:val="003825F6"/>
    <w:rsid w:val="00397C4D"/>
    <w:rsid w:val="003A4291"/>
    <w:rsid w:val="003E24C2"/>
    <w:rsid w:val="004159A1"/>
    <w:rsid w:val="0044158E"/>
    <w:rsid w:val="00447B30"/>
    <w:rsid w:val="00457AD2"/>
    <w:rsid w:val="00462A9E"/>
    <w:rsid w:val="00467286"/>
    <w:rsid w:val="00485EEB"/>
    <w:rsid w:val="004A056B"/>
    <w:rsid w:val="004A2A4E"/>
    <w:rsid w:val="004B2B9A"/>
    <w:rsid w:val="004D0BBF"/>
    <w:rsid w:val="0051422A"/>
    <w:rsid w:val="005164EF"/>
    <w:rsid w:val="005426EF"/>
    <w:rsid w:val="005C79AD"/>
    <w:rsid w:val="005F024F"/>
    <w:rsid w:val="005F14D2"/>
    <w:rsid w:val="005F41F7"/>
    <w:rsid w:val="00602638"/>
    <w:rsid w:val="00612D86"/>
    <w:rsid w:val="00615C00"/>
    <w:rsid w:val="0061644F"/>
    <w:rsid w:val="00622294"/>
    <w:rsid w:val="00674265"/>
    <w:rsid w:val="00692712"/>
    <w:rsid w:val="006968CE"/>
    <w:rsid w:val="006B6738"/>
    <w:rsid w:val="006B7BE6"/>
    <w:rsid w:val="006D1A44"/>
    <w:rsid w:val="006D69DD"/>
    <w:rsid w:val="006E6C13"/>
    <w:rsid w:val="006F07AA"/>
    <w:rsid w:val="00714702"/>
    <w:rsid w:val="007307B2"/>
    <w:rsid w:val="00732CBC"/>
    <w:rsid w:val="007371AD"/>
    <w:rsid w:val="00744C5D"/>
    <w:rsid w:val="00747611"/>
    <w:rsid w:val="00747726"/>
    <w:rsid w:val="0076641A"/>
    <w:rsid w:val="00773C09"/>
    <w:rsid w:val="00774B26"/>
    <w:rsid w:val="007C6915"/>
    <w:rsid w:val="007D516C"/>
    <w:rsid w:val="007D687A"/>
    <w:rsid w:val="007F798C"/>
    <w:rsid w:val="00807D60"/>
    <w:rsid w:val="00815C0F"/>
    <w:rsid w:val="00820BCB"/>
    <w:rsid w:val="00855CA2"/>
    <w:rsid w:val="008606BA"/>
    <w:rsid w:val="008E0D21"/>
    <w:rsid w:val="008F015C"/>
    <w:rsid w:val="009262C3"/>
    <w:rsid w:val="00944F8A"/>
    <w:rsid w:val="009715DA"/>
    <w:rsid w:val="00996CD9"/>
    <w:rsid w:val="009A687A"/>
    <w:rsid w:val="009A6905"/>
    <w:rsid w:val="009B09D1"/>
    <w:rsid w:val="009B1279"/>
    <w:rsid w:val="009B71B8"/>
    <w:rsid w:val="009E1727"/>
    <w:rsid w:val="009E799D"/>
    <w:rsid w:val="00A162FF"/>
    <w:rsid w:val="00A34559"/>
    <w:rsid w:val="00A64491"/>
    <w:rsid w:val="00A6504D"/>
    <w:rsid w:val="00A650AB"/>
    <w:rsid w:val="00A80237"/>
    <w:rsid w:val="00A9456B"/>
    <w:rsid w:val="00AB187A"/>
    <w:rsid w:val="00AB3BAD"/>
    <w:rsid w:val="00AB5E60"/>
    <w:rsid w:val="00AC7666"/>
    <w:rsid w:val="00B1046C"/>
    <w:rsid w:val="00B204D9"/>
    <w:rsid w:val="00B53C7F"/>
    <w:rsid w:val="00B916FA"/>
    <w:rsid w:val="00BB78F0"/>
    <w:rsid w:val="00BD2320"/>
    <w:rsid w:val="00BE48E8"/>
    <w:rsid w:val="00C06F90"/>
    <w:rsid w:val="00C23978"/>
    <w:rsid w:val="00C30A4A"/>
    <w:rsid w:val="00C31F14"/>
    <w:rsid w:val="00C46990"/>
    <w:rsid w:val="00C62820"/>
    <w:rsid w:val="00C8564A"/>
    <w:rsid w:val="00C96D39"/>
    <w:rsid w:val="00CA18E3"/>
    <w:rsid w:val="00CB5A33"/>
    <w:rsid w:val="00CB5DB8"/>
    <w:rsid w:val="00CD6B2F"/>
    <w:rsid w:val="00CF40EB"/>
    <w:rsid w:val="00D00C2D"/>
    <w:rsid w:val="00D27464"/>
    <w:rsid w:val="00D42F8D"/>
    <w:rsid w:val="00D45EEC"/>
    <w:rsid w:val="00D709BC"/>
    <w:rsid w:val="00D83EB2"/>
    <w:rsid w:val="00D864A9"/>
    <w:rsid w:val="00D93F66"/>
    <w:rsid w:val="00DA2865"/>
    <w:rsid w:val="00DA46D2"/>
    <w:rsid w:val="00DE09FA"/>
    <w:rsid w:val="00DE5B1C"/>
    <w:rsid w:val="00E17220"/>
    <w:rsid w:val="00E953C0"/>
    <w:rsid w:val="00F03B78"/>
    <w:rsid w:val="00F10496"/>
    <w:rsid w:val="00F21D65"/>
    <w:rsid w:val="00F40F72"/>
    <w:rsid w:val="00F43D76"/>
    <w:rsid w:val="00F55672"/>
    <w:rsid w:val="00F6018D"/>
    <w:rsid w:val="00FD1F58"/>
    <w:rsid w:val="00FD7C08"/>
    <w:rsid w:val="00FF64F0"/>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911A"/>
  <w15:chartTrackingRefBased/>
  <w15:docId w15:val="{FE4C2E76-472B-4351-916E-6FC61434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5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5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15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15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15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15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15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5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5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15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15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15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15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15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1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5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5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15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158E"/>
    <w:rPr>
      <w:i/>
      <w:iCs/>
      <w:color w:val="404040" w:themeColor="text1" w:themeTint="BF"/>
    </w:rPr>
  </w:style>
  <w:style w:type="paragraph" w:styleId="ListParagraph">
    <w:name w:val="List Paragraph"/>
    <w:basedOn w:val="Normal"/>
    <w:uiPriority w:val="34"/>
    <w:qFormat/>
    <w:rsid w:val="0044158E"/>
    <w:pPr>
      <w:ind w:left="720"/>
      <w:contextualSpacing/>
    </w:pPr>
  </w:style>
  <w:style w:type="character" w:styleId="IntenseEmphasis">
    <w:name w:val="Intense Emphasis"/>
    <w:basedOn w:val="DefaultParagraphFont"/>
    <w:uiPriority w:val="21"/>
    <w:qFormat/>
    <w:rsid w:val="0044158E"/>
    <w:rPr>
      <w:i/>
      <w:iCs/>
      <w:color w:val="0F4761" w:themeColor="accent1" w:themeShade="BF"/>
    </w:rPr>
  </w:style>
  <w:style w:type="paragraph" w:styleId="IntenseQuote">
    <w:name w:val="Intense Quote"/>
    <w:basedOn w:val="Normal"/>
    <w:next w:val="Normal"/>
    <w:link w:val="IntenseQuoteChar"/>
    <w:uiPriority w:val="30"/>
    <w:qFormat/>
    <w:rsid w:val="00441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58E"/>
    <w:rPr>
      <w:i/>
      <w:iCs/>
      <w:color w:val="0F4761" w:themeColor="accent1" w:themeShade="BF"/>
    </w:rPr>
  </w:style>
  <w:style w:type="character" w:styleId="IntenseReference">
    <w:name w:val="Intense Reference"/>
    <w:basedOn w:val="DefaultParagraphFont"/>
    <w:uiPriority w:val="32"/>
    <w:qFormat/>
    <w:rsid w:val="0044158E"/>
    <w:rPr>
      <w:b/>
      <w:bCs/>
      <w:smallCaps/>
      <w:color w:val="0F4761" w:themeColor="accent1" w:themeShade="BF"/>
      <w:spacing w:val="5"/>
    </w:rPr>
  </w:style>
  <w:style w:type="character" w:styleId="Hyperlink">
    <w:name w:val="Hyperlink"/>
    <w:basedOn w:val="DefaultParagraphFont"/>
    <w:uiPriority w:val="99"/>
    <w:unhideWhenUsed/>
    <w:rsid w:val="00462A9E"/>
    <w:rPr>
      <w:color w:val="467886" w:themeColor="hyperlink"/>
      <w:u w:val="single"/>
    </w:rPr>
  </w:style>
  <w:style w:type="table" w:styleId="TableGrid">
    <w:name w:val="Table Grid"/>
    <w:basedOn w:val="TableNormal"/>
    <w:uiPriority w:val="39"/>
    <w:rsid w:val="00462A9E"/>
    <w:rPr>
      <w:rFonts w:eastAsia="Times New Roman" w:cs="Times New Roman"/>
      <w:b/>
      <w:kern w:val="0"/>
      <w:sz w:val="2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5EEC"/>
    <w:pPr>
      <w:tabs>
        <w:tab w:val="center" w:pos="4680"/>
        <w:tab w:val="right" w:pos="9360"/>
      </w:tabs>
    </w:pPr>
  </w:style>
  <w:style w:type="character" w:customStyle="1" w:styleId="HeaderChar">
    <w:name w:val="Header Char"/>
    <w:basedOn w:val="DefaultParagraphFont"/>
    <w:link w:val="Header"/>
    <w:uiPriority w:val="99"/>
    <w:rsid w:val="00D45EEC"/>
  </w:style>
  <w:style w:type="paragraph" w:styleId="Footer">
    <w:name w:val="footer"/>
    <w:basedOn w:val="Normal"/>
    <w:link w:val="FooterChar"/>
    <w:uiPriority w:val="99"/>
    <w:unhideWhenUsed/>
    <w:rsid w:val="00D45EEC"/>
    <w:pPr>
      <w:tabs>
        <w:tab w:val="center" w:pos="4680"/>
        <w:tab w:val="right" w:pos="9360"/>
      </w:tabs>
    </w:pPr>
  </w:style>
  <w:style w:type="character" w:customStyle="1" w:styleId="FooterChar">
    <w:name w:val="Footer Char"/>
    <w:basedOn w:val="DefaultParagraphFont"/>
    <w:link w:val="Footer"/>
    <w:uiPriority w:val="99"/>
    <w:rsid w:val="00D45EEC"/>
  </w:style>
  <w:style w:type="paragraph" w:styleId="CommentText">
    <w:name w:val="annotation text"/>
    <w:basedOn w:val="Normal"/>
    <w:link w:val="CommentTextChar"/>
    <w:uiPriority w:val="99"/>
    <w:unhideWhenUsed/>
    <w:rsid w:val="005426EF"/>
    <w:pPr>
      <w:spacing w:after="160"/>
    </w:pPr>
    <w:rPr>
      <w:rFonts w:asciiTheme="minorHAnsi" w:eastAsiaTheme="minorEastAsia" w:hAnsiTheme="minorHAnsi"/>
      <w:kern w:val="0"/>
      <w:sz w:val="20"/>
      <w:szCs w:val="20"/>
      <w:lang w:val="en-AU" w:eastAsia="zh-CN"/>
      <w14:ligatures w14:val="none"/>
    </w:rPr>
  </w:style>
  <w:style w:type="character" w:customStyle="1" w:styleId="CommentTextChar">
    <w:name w:val="Comment Text Char"/>
    <w:basedOn w:val="DefaultParagraphFont"/>
    <w:link w:val="CommentText"/>
    <w:uiPriority w:val="99"/>
    <w:rsid w:val="005426EF"/>
    <w:rPr>
      <w:rFonts w:asciiTheme="minorHAnsi" w:eastAsiaTheme="minorEastAsia" w:hAnsiTheme="minorHAnsi"/>
      <w:kern w:val="0"/>
      <w:sz w:val="20"/>
      <w:szCs w:val="20"/>
      <w:lang w:val="en-AU" w:eastAsia="zh-CN"/>
      <w14:ligatures w14:val="none"/>
    </w:rPr>
  </w:style>
  <w:style w:type="character" w:styleId="CommentReference">
    <w:name w:val="annotation reference"/>
    <w:basedOn w:val="DefaultParagraphFont"/>
    <w:uiPriority w:val="99"/>
    <w:semiHidden/>
    <w:unhideWhenUsed/>
    <w:rsid w:val="003E24C2"/>
    <w:rPr>
      <w:sz w:val="16"/>
      <w:szCs w:val="16"/>
    </w:rPr>
  </w:style>
  <w:style w:type="paragraph" w:styleId="CommentSubject">
    <w:name w:val="annotation subject"/>
    <w:basedOn w:val="CommentText"/>
    <w:next w:val="CommentText"/>
    <w:link w:val="CommentSubjectChar"/>
    <w:uiPriority w:val="99"/>
    <w:semiHidden/>
    <w:unhideWhenUsed/>
    <w:rsid w:val="003E24C2"/>
    <w:pPr>
      <w:spacing w:after="0"/>
    </w:pPr>
    <w:rPr>
      <w:rFonts w:ascii="Times New Roman" w:eastAsiaTheme="minorHAnsi" w:hAnsi="Times New Roman"/>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3E24C2"/>
    <w:rPr>
      <w:rFonts w:asciiTheme="minorHAnsi" w:eastAsiaTheme="minorEastAsia" w:hAnsiTheme="minorHAnsi"/>
      <w:b/>
      <w:bCs/>
      <w:kern w:val="0"/>
      <w:sz w:val="20"/>
      <w:szCs w:val="20"/>
      <w:lang w:val="en-AU" w:eastAsia="zh-CN"/>
      <w14:ligatures w14:val="none"/>
    </w:rPr>
  </w:style>
  <w:style w:type="paragraph" w:styleId="NormalWeb">
    <w:name w:val="Normal (Web)"/>
    <w:basedOn w:val="Normal"/>
    <w:uiPriority w:val="99"/>
    <w:unhideWhenUsed/>
    <w:rsid w:val="00BE48E8"/>
    <w:pPr>
      <w:spacing w:before="100" w:beforeAutospacing="1" w:after="100" w:afterAutospacing="1"/>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4A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3992">
      <w:bodyDiv w:val="1"/>
      <w:marLeft w:val="0"/>
      <w:marRight w:val="0"/>
      <w:marTop w:val="0"/>
      <w:marBottom w:val="0"/>
      <w:divBdr>
        <w:top w:val="none" w:sz="0" w:space="0" w:color="auto"/>
        <w:left w:val="none" w:sz="0" w:space="0" w:color="auto"/>
        <w:bottom w:val="none" w:sz="0" w:space="0" w:color="auto"/>
        <w:right w:val="none" w:sz="0" w:space="0" w:color="auto"/>
      </w:divBdr>
    </w:div>
    <w:div w:id="651060155">
      <w:bodyDiv w:val="1"/>
      <w:marLeft w:val="0"/>
      <w:marRight w:val="0"/>
      <w:marTop w:val="0"/>
      <w:marBottom w:val="0"/>
      <w:divBdr>
        <w:top w:val="none" w:sz="0" w:space="0" w:color="auto"/>
        <w:left w:val="none" w:sz="0" w:space="0" w:color="auto"/>
        <w:bottom w:val="none" w:sz="0" w:space="0" w:color="auto"/>
        <w:right w:val="none" w:sz="0" w:space="0" w:color="auto"/>
      </w:divBdr>
    </w:div>
    <w:div w:id="739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014/ajot.2017.024703" TargetMode="External"/><Relationship Id="rId18" Type="http://schemas.openxmlformats.org/officeDocument/2006/relationships/hyperlink" Target="https://doi.org/10.1111/jar.12394" TargetMode="External"/><Relationship Id="rId26" Type="http://schemas.openxmlformats.org/officeDocument/2006/relationships/hyperlink" Target="https://jbi-global-wiki.refined.site/space/MANUAL" TargetMode="External"/><Relationship Id="rId39" Type="http://schemas.openxmlformats.org/officeDocument/2006/relationships/hyperlink" Target="https://doi.org/10.1186/s13643-016-0384-4" TargetMode="External"/><Relationship Id="rId21" Type="http://schemas.openxmlformats.org/officeDocument/2006/relationships/hyperlink" Target="https://doi.org/10.1016/j.ridd.2021.103857" TargetMode="External"/><Relationship Id="rId34" Type="http://schemas.openxmlformats.org/officeDocument/2006/relationships/hyperlink" Target="https://doi.org/10.5014/ajot.2017.024703" TargetMode="External"/><Relationship Id="rId42" Type="http://schemas.openxmlformats.org/officeDocument/2006/relationships/hyperlink" Target="https://doi.org/10.1080/20473869.2020.1827212"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014/ajot.2013.008102" TargetMode="External"/><Relationship Id="rId20" Type="http://schemas.openxmlformats.org/officeDocument/2006/relationships/hyperlink" Target="https://doi.org/10.1515/IJDHD.2008.7.1.49" TargetMode="External"/><Relationship Id="rId29" Type="http://schemas.openxmlformats.org/officeDocument/2006/relationships/hyperlink" Target="https://doi.org/10.1007/s40688-016-0112-z" TargetMode="External"/><Relationship Id="rId41" Type="http://schemas.openxmlformats.org/officeDocument/2006/relationships/hyperlink" Target="https://doi.org/10.1007/s40688-016-0112-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14091005" TargetMode="External"/><Relationship Id="rId24" Type="http://schemas.openxmlformats.org/officeDocument/2006/relationships/hyperlink" Target="https://doi.org/10.1080/0164212X.2020.1725714" TargetMode="External"/><Relationship Id="rId32" Type="http://schemas.openxmlformats.org/officeDocument/2006/relationships/hyperlink" Target="https://doi.org/10.5014/ajot.2020.74S2001" TargetMode="External"/><Relationship Id="rId37" Type="http://schemas.openxmlformats.org/officeDocument/2006/relationships/hyperlink" Target="https://doi.org/10.1007/s40474-020-00206-w" TargetMode="External"/><Relationship Id="rId40" Type="http://schemas.openxmlformats.org/officeDocument/2006/relationships/hyperlink" Target="https://doi.org/10.1111/1440-1630.12577" TargetMode="External"/><Relationship Id="rId5" Type="http://schemas.openxmlformats.org/officeDocument/2006/relationships/footnotes" Target="footnotes.xml"/><Relationship Id="rId15" Type="http://schemas.openxmlformats.org/officeDocument/2006/relationships/hyperlink" Target="https://doi.org/10.1080/09638288.2019.1576781" TargetMode="External"/><Relationship Id="rId23" Type="http://schemas.openxmlformats.org/officeDocument/2006/relationships/hyperlink" Target="https://doi.org/10.1080/09638288.2021.2008524" TargetMode="External"/><Relationship Id="rId28" Type="http://schemas.openxmlformats.org/officeDocument/2006/relationships/hyperlink" Target="https://doi.org/10.1111/1440-1630.12577" TargetMode="External"/><Relationship Id="rId36" Type="http://schemas.openxmlformats.org/officeDocument/2006/relationships/hyperlink" Target="https://doi.org/10.1177/2165143418813912" TargetMode="External"/><Relationship Id="rId10" Type="http://schemas.openxmlformats.org/officeDocument/2006/relationships/hyperlink" Target="https://doi.org/10.5014/ajot.2020.74S2001" TargetMode="External"/><Relationship Id="rId19" Type="http://schemas.openxmlformats.org/officeDocument/2006/relationships/hyperlink" Target="https://doi.org/10.1007/s40474-020-00206-w" TargetMode="External"/><Relationship Id="rId31" Type="http://schemas.openxmlformats.org/officeDocument/2006/relationships/hyperlink" Target="https://doi.org/10.1080/20473869.2020.182721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5453/2168-6408.1724" TargetMode="External"/><Relationship Id="rId22" Type="http://schemas.openxmlformats.org/officeDocument/2006/relationships/hyperlink" Target="https://doi.org/10.1007/s00787-016-0853-2" TargetMode="External"/><Relationship Id="rId27" Type="http://schemas.openxmlformats.org/officeDocument/2006/relationships/hyperlink" Target="https://doi.org/10.7326/M18-0850" TargetMode="External"/><Relationship Id="rId30" Type="http://schemas.openxmlformats.org/officeDocument/2006/relationships/hyperlink" Target="https://osf.io/zmnb6/?view_only=d3b43119d9394c969e8495d8e1e623c5" TargetMode="External"/><Relationship Id="rId35" Type="http://schemas.openxmlformats.org/officeDocument/2006/relationships/hyperlink" Target="https://doi.org/10.15453/2168-6408.1724" TargetMode="External"/><Relationship Id="rId43" Type="http://schemas.openxmlformats.org/officeDocument/2006/relationships/fontTable" Target="fontTable.xml"/><Relationship Id="rId8" Type="http://schemas.openxmlformats.org/officeDocument/2006/relationships/hyperlink" Target="http://www.prisma-statement.org/" TargetMode="External"/><Relationship Id="rId3" Type="http://schemas.openxmlformats.org/officeDocument/2006/relationships/settings" Target="settings.xml"/><Relationship Id="rId12" Type="http://schemas.openxmlformats.org/officeDocument/2006/relationships/hyperlink" Target="https://doi.org/10.1111/jar.13040" TargetMode="External"/><Relationship Id="rId17" Type="http://schemas.openxmlformats.org/officeDocument/2006/relationships/hyperlink" Target="https://doi.org/10.1177/2165143418813912" TargetMode="External"/><Relationship Id="rId25" Type="http://schemas.openxmlformats.org/officeDocument/2006/relationships/hyperlink" Target="https://doi.org/10.1186/s13643-016-0384-4" TargetMode="External"/><Relationship Id="rId33" Type="http://schemas.openxmlformats.org/officeDocument/2006/relationships/hyperlink" Target="https://doi.org/10.1111/jar.13040" TargetMode="External"/><Relationship Id="rId38" Type="http://schemas.openxmlformats.org/officeDocument/2006/relationships/hyperlink" Target="https://doi.org/10.1007/s00787-016-0853-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Focus</a:t>
            </a:r>
            <a:r>
              <a:rPr lang="en-US" baseline="0"/>
              <a:t> on Interventions in Relation to the OTPF-4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Count</c:v>
                </c:pt>
              </c:strCache>
            </c:strRef>
          </c:tx>
          <c:spPr>
            <a:solidFill>
              <a:schemeClr val="accent1"/>
            </a:solidFill>
            <a:ln>
              <a:noFill/>
            </a:ln>
            <a:effectLst/>
          </c:spPr>
          <c:invertIfNegative val="0"/>
          <c:dPt>
            <c:idx val="7"/>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1-267D-48D1-9BF2-9EA75B8D126E}"/>
              </c:ext>
            </c:extLst>
          </c:dPt>
          <c:dPt>
            <c:idx val="10"/>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267D-48D1-9BF2-9EA75B8D126E}"/>
              </c:ext>
            </c:extLst>
          </c:dPt>
          <c:dPt>
            <c:idx val="1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5-267D-48D1-9BF2-9EA75B8D126E}"/>
              </c:ext>
            </c:extLst>
          </c:dPt>
          <c:cat>
            <c:strRef>
              <c:f>Sheet1!$A$2:$A$13</c:f>
              <c:strCache>
                <c:ptCount val="12"/>
                <c:pt idx="0">
                  <c:v>Care of Others</c:v>
                </c:pt>
                <c:pt idx="1">
                  <c:v>Community Mobility </c:v>
                </c:pt>
                <c:pt idx="2">
                  <c:v>Financial Management</c:v>
                </c:pt>
                <c:pt idx="3">
                  <c:v>Home Management</c:v>
                </c:pt>
                <c:pt idx="4">
                  <c:v>Health Management </c:v>
                </c:pt>
                <c:pt idx="5">
                  <c:v>Social Participation</c:v>
                </c:pt>
                <c:pt idx="6">
                  <c:v>Education</c:v>
                </c:pt>
                <c:pt idx="7">
                  <c:v>Toileting </c:v>
                </c:pt>
                <c:pt idx="8">
                  <c:v>Safety </c:v>
                </c:pt>
                <c:pt idx="9">
                  <c:v>Meal Preparation</c:v>
                </c:pt>
                <c:pt idx="10">
                  <c:v>Grooming </c:v>
                </c:pt>
                <c:pt idx="11">
                  <c:v>Dressing</c:v>
                </c:pt>
              </c:strCache>
            </c:strRef>
          </c:cat>
          <c:val>
            <c:numRef>
              <c:f>Sheet1!$B$2:$B$13</c:f>
              <c:numCache>
                <c:formatCode>General</c:formatCode>
                <c:ptCount val="12"/>
                <c:pt idx="0">
                  <c:v>3</c:v>
                </c:pt>
                <c:pt idx="1">
                  <c:v>4</c:v>
                </c:pt>
                <c:pt idx="2">
                  <c:v>4</c:v>
                </c:pt>
                <c:pt idx="3">
                  <c:v>3</c:v>
                </c:pt>
                <c:pt idx="4">
                  <c:v>1</c:v>
                </c:pt>
                <c:pt idx="5">
                  <c:v>4</c:v>
                </c:pt>
                <c:pt idx="6">
                  <c:v>1</c:v>
                </c:pt>
                <c:pt idx="7">
                  <c:v>1</c:v>
                </c:pt>
                <c:pt idx="8">
                  <c:v>4</c:v>
                </c:pt>
                <c:pt idx="9">
                  <c:v>3</c:v>
                </c:pt>
                <c:pt idx="10">
                  <c:v>1</c:v>
                </c:pt>
                <c:pt idx="11">
                  <c:v>1</c:v>
                </c:pt>
              </c:numCache>
            </c:numRef>
          </c:val>
          <c:extLst>
            <c:ext xmlns:c16="http://schemas.microsoft.com/office/drawing/2014/chart" uri="{C3380CC4-5D6E-409C-BE32-E72D297353CC}">
              <c16:uniqueId val="{00000006-267D-48D1-9BF2-9EA75B8D126E}"/>
            </c:ext>
          </c:extLst>
        </c:ser>
        <c:dLbls>
          <c:showLegendKey val="0"/>
          <c:showVal val="0"/>
          <c:showCatName val="0"/>
          <c:showSerName val="0"/>
          <c:showPercent val="0"/>
          <c:showBubbleSize val="0"/>
        </c:dLbls>
        <c:gapWidth val="182"/>
        <c:axId val="891228144"/>
        <c:axId val="891230544"/>
      </c:barChart>
      <c:catAx>
        <c:axId val="891228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891230544"/>
        <c:crosses val="autoZero"/>
        <c:auto val="1"/>
        <c:lblAlgn val="ctr"/>
        <c:lblOffset val="100"/>
        <c:noMultiLvlLbl val="0"/>
      </c:catAx>
      <c:valAx>
        <c:axId val="891230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ADL                   </a:t>
                </a:r>
                <a:r>
                  <a:rPr lang="en-US" baseline="0"/>
                  <a:t> IADL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1228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6498</Words>
  <Characters>37043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Wittekind</dc:creator>
  <cp:keywords/>
  <dc:description/>
  <cp:lastModifiedBy>Wittekind, Madison</cp:lastModifiedBy>
  <cp:revision>5</cp:revision>
  <dcterms:created xsi:type="dcterms:W3CDTF">2024-04-21T23:27:00Z</dcterms:created>
  <dcterms:modified xsi:type="dcterms:W3CDTF">2024-04-22T21:02:00Z</dcterms:modified>
</cp:coreProperties>
</file>